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s="Arial"/>
          <w:sz w:val="24"/>
          <w:szCs w:val="24"/>
        </w:rPr>
      </w:pPr>
    </w:p>
    <w:p>
      <w:bookmarkStart w:id="0" w:name="EB95c0f67582f1491d96dbacde62000ed8"/>
      <w:r>
        <w:rPr>
          <w:rFonts w:ascii="宋体" w:hAnsi="宋体" w:cs="Arial"/>
          <w:sz w:val="20"/>
          <w:szCs w:val="24"/>
        </w:rPr>
        <w:t xml:space="preserve"> </w:t>
      </w:r>
      <w:bookmarkEnd w:id="0"/>
      <w:bookmarkStart w:id="1" w:name="EB8cfd4fac1ae147189930f4ce88d1b0a7"/>
      <w:r>
        <w:rPr>
          <w:rFonts w:ascii="宋体" w:hAnsi="宋体" w:cs="Arial"/>
          <w:sz w:val="20"/>
          <w:szCs w:val="24"/>
        </w:rPr>
        <w:t xml:space="preserve"> </w:t>
      </w:r>
      <w:bookmarkEnd w:id="1"/>
    </w:p>
    <w:p>
      <w:pPr>
        <w:rPr>
          <w:rFonts w:hint="eastAsia" w:ascii="宋体" w:hAnsi="宋体" w:cs="Arial"/>
          <w:sz w:val="24"/>
        </w:rPr>
      </w:pPr>
      <w:r>
        <w:rPr>
          <w:rFonts w:hint="eastAsia" w:ascii="宋体" w:hAnsi="宋体" w:cs="Arial"/>
          <w:sz w:val="24"/>
          <w:szCs w:val="24"/>
        </w:rPr>
        <w:t xml:space="preserve"> </w:t>
      </w:r>
    </w:p>
    <w:p>
      <w:pPr>
        <w:rPr>
          <w:rFonts w:hint="eastAsia" w:ascii="宋体" w:hAnsi="宋体" w:cs="Arial"/>
          <w:sz w:val="24"/>
        </w:rPr>
      </w:pPr>
    </w:p>
    <w:p>
      <w:pPr>
        <w:jc w:val="center"/>
        <w:rPr>
          <w:rFonts w:hint="eastAsia" w:ascii="宋体" w:hAnsi="宋体" w:cs="Arial"/>
          <w:b/>
          <w:spacing w:val="40"/>
          <w:sz w:val="84"/>
          <w:szCs w:val="84"/>
        </w:rPr>
      </w:pPr>
      <w:r>
        <w:rPr>
          <w:rFonts w:hint="eastAsia" w:ascii="宋体" w:hAnsi="宋体" w:cs="Arial"/>
          <w:b/>
          <w:spacing w:val="40"/>
          <w:sz w:val="84"/>
          <w:szCs w:val="84"/>
        </w:rPr>
        <w:t>招标文件</w:t>
      </w:r>
      <w:bookmarkStart w:id="2" w:name="_Toc38947771"/>
      <w:bookmarkStart w:id="3" w:name="_Toc37569493"/>
      <w:bookmarkStart w:id="4" w:name="_Toc37663365"/>
      <w:bookmarkStart w:id="5" w:name="_Toc37581393"/>
      <w:bookmarkStart w:id="6" w:name="_Toc37331055"/>
      <w:bookmarkStart w:id="7" w:name="_Toc37245250"/>
      <w:bookmarkStart w:id="8" w:name="_Toc37331012"/>
    </w:p>
    <w:p>
      <w:pPr>
        <w:rPr>
          <w:rFonts w:hint="eastAsia" w:ascii="宋体" w:hAnsi="宋体"/>
        </w:rPr>
      </w:pPr>
    </w:p>
    <w:p>
      <w:pPr>
        <w:jc w:val="center"/>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ind w:firstLine="527" w:firstLineChars="164"/>
        <w:rPr>
          <w:rFonts w:hint="eastAsia" w:ascii="宋体" w:hAnsi="宋体" w:cs="Arial"/>
          <w:b/>
          <w:sz w:val="32"/>
          <w:szCs w:val="32"/>
        </w:rPr>
      </w:pPr>
    </w:p>
    <w:p>
      <w:pPr>
        <w:spacing w:line="360" w:lineRule="auto"/>
        <w:jc w:val="left"/>
        <w:rPr>
          <w:rFonts w:hint="eastAsia" w:ascii="宋体" w:hAnsi="宋体" w:cs="Arial"/>
          <w:b/>
          <w:sz w:val="32"/>
          <w:szCs w:val="32"/>
        </w:rPr>
      </w:pPr>
      <w:r>
        <w:rPr>
          <w:rFonts w:hint="eastAsia" w:ascii="宋体" w:hAnsi="宋体" w:cs="Arial"/>
          <w:b/>
          <w:sz w:val="32"/>
          <w:szCs w:val="32"/>
        </w:rPr>
        <w:t>项目名称：</w:t>
      </w:r>
      <w:bookmarkStart w:id="9" w:name="EB6c11a057e7a04bcfa6827789631b2c7a"/>
      <w:r>
        <w:rPr>
          <w:rFonts w:hint="eastAsia" w:ascii="宋体" w:hAnsi="宋体" w:cs="Arial"/>
          <w:b/>
          <w:sz w:val="32"/>
          <w:szCs w:val="32"/>
        </w:rPr>
        <w:t>广州电缆厂有限公司</w:t>
      </w:r>
      <w:r>
        <w:rPr>
          <w:rFonts w:hint="eastAsia" w:ascii="宋体" w:hAnsi="宋体" w:cs="Arial"/>
          <w:b/>
          <w:sz w:val="32"/>
          <w:szCs w:val="32"/>
          <w:lang w:val="en-US" w:eastAsia="zh-CN"/>
        </w:rPr>
        <w:t>2022</w:t>
      </w:r>
      <w:r>
        <w:rPr>
          <w:rFonts w:hint="eastAsia" w:ascii="宋体" w:hAnsi="宋体" w:cs="Arial"/>
          <w:b/>
          <w:sz w:val="32"/>
          <w:szCs w:val="32"/>
        </w:rPr>
        <w:t>年度</w:t>
      </w:r>
      <w:r>
        <w:rPr>
          <w:rFonts w:hint="eastAsia" w:ascii="宋体" w:hAnsi="宋体" w:cs="Arial"/>
          <w:b/>
          <w:sz w:val="32"/>
          <w:szCs w:val="32"/>
          <w:lang w:val="en-US" w:eastAsia="zh-CN"/>
        </w:rPr>
        <w:t>芜湖仓</w:t>
      </w:r>
      <w:r>
        <w:rPr>
          <w:rFonts w:hint="eastAsia" w:ascii="宋体" w:hAnsi="宋体" w:cs="Arial"/>
          <w:b/>
          <w:sz w:val="32"/>
          <w:szCs w:val="32"/>
        </w:rPr>
        <w:t>货物运输</w:t>
      </w:r>
      <w:r>
        <w:rPr>
          <w:rFonts w:hint="eastAsia" w:ascii="宋体" w:hAnsi="宋体" w:cs="Arial"/>
          <w:b/>
          <w:sz w:val="32"/>
          <w:szCs w:val="32"/>
          <w:lang w:eastAsia="zh-CN"/>
        </w:rPr>
        <w:t>招</w:t>
      </w:r>
      <w:r>
        <w:rPr>
          <w:rFonts w:hint="eastAsia" w:ascii="宋体" w:hAnsi="宋体" w:cs="Arial"/>
          <w:b/>
          <w:sz w:val="32"/>
          <w:szCs w:val="32"/>
        </w:rPr>
        <w:t>标项目</w:t>
      </w:r>
      <w:bookmarkEnd w:id="9"/>
    </w:p>
    <w:p>
      <w:pPr>
        <w:spacing w:line="360" w:lineRule="auto"/>
        <w:jc w:val="left"/>
        <w:rPr>
          <w:rFonts w:hint="eastAsia" w:ascii="宋体" w:hAnsi="宋体" w:cs="Arial"/>
          <w:b/>
          <w:sz w:val="32"/>
          <w:szCs w:val="32"/>
        </w:rPr>
      </w:pPr>
      <w:r>
        <w:rPr>
          <w:rFonts w:hint="eastAsia" w:ascii="宋体" w:hAnsi="宋体" w:cs="Arial"/>
          <w:b/>
          <w:sz w:val="32"/>
          <w:szCs w:val="32"/>
        </w:rPr>
        <w:t>项目类别：</w:t>
      </w:r>
      <w:bookmarkStart w:id="10" w:name="EBf723cc5b9fe946a79c6eb6f832428da8"/>
      <w:r>
        <w:rPr>
          <w:rFonts w:hint="eastAsia" w:ascii="宋体" w:hAnsi="宋体" w:cs="Arial"/>
          <w:b/>
          <w:sz w:val="32"/>
          <w:szCs w:val="32"/>
        </w:rPr>
        <w:t>服务类</w:t>
      </w:r>
      <w:bookmarkEnd w:id="10"/>
    </w:p>
    <w:bookmarkEnd w:id="2"/>
    <w:bookmarkEnd w:id="3"/>
    <w:bookmarkEnd w:id="4"/>
    <w:bookmarkEnd w:id="5"/>
    <w:bookmarkEnd w:id="6"/>
    <w:bookmarkEnd w:id="7"/>
    <w:bookmarkEnd w:id="8"/>
    <w:p>
      <w:pPr>
        <w:tabs>
          <w:tab w:val="left" w:pos="5750"/>
        </w:tabs>
        <w:spacing w:line="360" w:lineRule="auto"/>
        <w:ind w:firstLine="524" w:firstLineChars="164"/>
        <w:rPr>
          <w:rFonts w:hint="eastAsia" w:ascii="宋体" w:hAnsi="宋体" w:eastAsia="宋体" w:cs="Arial"/>
          <w:sz w:val="32"/>
          <w:lang w:eastAsia="zh-CN"/>
        </w:rPr>
      </w:pPr>
      <w:r>
        <w:rPr>
          <w:rFonts w:hint="eastAsia" w:ascii="宋体" w:hAnsi="宋体" w:cs="Arial"/>
          <w:sz w:val="32"/>
          <w:lang w:eastAsia="zh-CN"/>
        </w:rPr>
        <w:tab/>
      </w:r>
    </w:p>
    <w:p>
      <w:pPr>
        <w:spacing w:line="300" w:lineRule="auto"/>
        <w:jc w:val="center"/>
        <w:rPr>
          <w:rFonts w:hint="eastAsia" w:ascii="宋体" w:hAnsi="宋体" w:cs="仿宋_GB2312"/>
          <w:b/>
          <w:sz w:val="32"/>
          <w:szCs w:val="32"/>
        </w:rPr>
      </w:pPr>
      <w:r>
        <w:rPr>
          <w:rFonts w:hint="eastAsia" w:ascii="宋体" w:hAnsi="宋体" w:cs="仿宋_GB2312"/>
          <w:b/>
          <w:spacing w:val="40"/>
          <w:sz w:val="32"/>
          <w:szCs w:val="32"/>
        </w:rPr>
        <w:t xml:space="preserve">                        广州电缆厂有限公司</w:t>
      </w:r>
    </w:p>
    <w:p>
      <w:pPr>
        <w:jc w:val="center"/>
        <w:rPr>
          <w:rFonts w:ascii="宋体" w:hAnsi="宋体"/>
        </w:rPr>
      </w:pPr>
      <w:bookmarkStart w:id="11" w:name="EBcb75808cf18f4990a44bdd311373c1ea"/>
      <w:r>
        <w:rPr>
          <w:rFonts w:hint="eastAsia" w:ascii="宋体" w:hAnsi="宋体"/>
        </w:rPr>
        <w:t xml:space="preserve">                                              </w:t>
      </w:r>
      <w:r>
        <w:rPr>
          <w:rFonts w:ascii="宋体" w:hAnsi="宋体"/>
        </w:rPr>
        <w:t>202</w:t>
      </w:r>
      <w:r>
        <w:rPr>
          <w:rFonts w:hint="eastAsia" w:ascii="宋体" w:hAnsi="宋体"/>
        </w:rPr>
        <w:t>1</w:t>
      </w:r>
      <w:r>
        <w:rPr>
          <w:rFonts w:ascii="宋体" w:hAnsi="宋体"/>
        </w:rPr>
        <w:t>年</w:t>
      </w:r>
      <w:r>
        <w:rPr>
          <w:rFonts w:hint="eastAsia" w:ascii="宋体" w:hAnsi="宋体"/>
          <w:lang w:val="en-US" w:eastAsia="zh-CN"/>
        </w:rPr>
        <w:t>10</w:t>
      </w:r>
      <w:r>
        <w:rPr>
          <w:rFonts w:ascii="宋体" w:hAnsi="宋体"/>
        </w:rPr>
        <w:t>月</w:t>
      </w:r>
      <w:r>
        <w:rPr>
          <w:rFonts w:hint="eastAsia" w:ascii="宋体" w:hAnsi="宋体"/>
          <w:lang w:val="en-US" w:eastAsia="zh-CN"/>
        </w:rPr>
        <w:t>15</w:t>
      </w:r>
      <w:r>
        <w:rPr>
          <w:rFonts w:ascii="宋体" w:hAnsi="宋体"/>
        </w:rPr>
        <w:t>日</w:t>
      </w:r>
      <w:bookmarkEnd w:id="11"/>
    </w:p>
    <w:p>
      <w:pPr>
        <w:rPr>
          <w:rFonts w:hint="eastAsia" w:ascii="宋体" w:hAnsi="宋体" w:cs="Arial"/>
          <w:b/>
          <w:sz w:val="32"/>
        </w:rPr>
      </w:pPr>
      <w:r>
        <w:rPr>
          <w:rFonts w:ascii="宋体" w:hAnsi="宋体" w:cs="Arial"/>
          <w:sz w:val="32"/>
        </w:rPr>
        <w:br w:type="page"/>
      </w:r>
      <w:r>
        <w:rPr>
          <w:rFonts w:hint="eastAsia" w:ascii="宋体" w:hAnsi="宋体"/>
          <w:b/>
          <w:sz w:val="36"/>
          <w:szCs w:val="36"/>
        </w:rPr>
        <w:t>温馨提示：供应商投标特别注意事项</w:t>
      </w:r>
    </w:p>
    <w:p>
      <w:pPr>
        <w:jc w:val="center"/>
        <w:rPr>
          <w:rFonts w:hint="eastAsia" w:ascii="宋体" w:hAnsi="宋体"/>
          <w:sz w:val="36"/>
          <w:szCs w:val="36"/>
        </w:rPr>
      </w:pPr>
    </w:p>
    <w:p>
      <w:pPr>
        <w:numPr>
          <w:ilvl w:val="0"/>
          <w:numId w:val="1"/>
        </w:numPr>
        <w:tabs>
          <w:tab w:val="left" w:pos="0"/>
          <w:tab w:val="left" w:pos="1080"/>
        </w:tabs>
        <w:spacing w:line="360" w:lineRule="auto"/>
        <w:ind w:left="0" w:firstLine="420"/>
        <w:rPr>
          <w:rStyle w:val="15"/>
          <w:rFonts w:ascii="宋体" w:hAnsi="宋体"/>
          <w:sz w:val="24"/>
          <w:szCs w:val="24"/>
        </w:rPr>
      </w:pPr>
      <w:bookmarkStart w:id="12" w:name="_Toc98580272"/>
      <w:bookmarkStart w:id="13" w:name="_Toc98578990"/>
      <w:bookmarkStart w:id="14" w:name="_Toc98579048"/>
      <w:bookmarkStart w:id="15" w:name="_Toc98579589"/>
      <w:bookmarkStart w:id="16" w:name="_Toc127930770"/>
      <w:bookmarkStart w:id="17" w:name="_Toc175644436"/>
      <w:bookmarkStart w:id="18" w:name="_Toc175644383"/>
      <w:r>
        <w:rPr>
          <w:rStyle w:val="15"/>
          <w:rFonts w:hint="eastAsia" w:ascii="宋体" w:hAnsi="宋体"/>
          <w:sz w:val="24"/>
          <w:szCs w:val="24"/>
        </w:rPr>
        <w:t>一律只接受具备法律效力的纸质投标文件。</w:t>
      </w:r>
    </w:p>
    <w:p>
      <w:pPr>
        <w:numPr>
          <w:ilvl w:val="0"/>
          <w:numId w:val="1"/>
        </w:numPr>
        <w:tabs>
          <w:tab w:val="left" w:pos="0"/>
          <w:tab w:val="left" w:pos="1080"/>
        </w:tabs>
        <w:spacing w:line="520" w:lineRule="exact"/>
        <w:ind w:left="0" w:firstLine="420"/>
        <w:rPr>
          <w:rStyle w:val="15"/>
          <w:rFonts w:hint="eastAsia" w:ascii="宋体" w:hAnsi="宋体"/>
          <w:sz w:val="24"/>
          <w:szCs w:val="24"/>
        </w:rPr>
      </w:pPr>
      <w:r>
        <w:rPr>
          <w:rStyle w:val="15"/>
          <w:rFonts w:hint="eastAsia" w:ascii="宋体" w:hAnsi="宋体"/>
          <w:sz w:val="24"/>
          <w:szCs w:val="24"/>
        </w:rPr>
        <w:t>如更正公告有重新发布招标文件的，供应商需使用更正公告后最新发布的招标文件来制作投标文件，否则投标时将无法正常提交投标文件。</w:t>
      </w:r>
      <w:bookmarkStart w:id="19" w:name="EB518cdab668804e059aed57186eceaad7"/>
      <w:r>
        <w:rPr>
          <w:rStyle w:val="15"/>
          <w:rFonts w:ascii="宋体" w:hAnsi="宋体"/>
          <w:sz w:val="20"/>
          <w:szCs w:val="24"/>
        </w:rPr>
        <w:t xml:space="preserve"> </w:t>
      </w:r>
      <w:bookmarkEnd w:id="19"/>
      <w:bookmarkStart w:id="20" w:name="EB803fb8742b3e4181852294c471aca044"/>
      <w:r>
        <w:rPr>
          <w:rStyle w:val="15"/>
          <w:rFonts w:ascii="宋体" w:hAnsi="宋体"/>
          <w:sz w:val="20"/>
          <w:szCs w:val="24"/>
        </w:rPr>
        <w:t xml:space="preserve"> </w:t>
      </w:r>
      <w:bookmarkEnd w:id="20"/>
    </w:p>
    <w:p>
      <w:pPr>
        <w:numPr>
          <w:ilvl w:val="0"/>
          <w:numId w:val="1"/>
        </w:numPr>
        <w:tabs>
          <w:tab w:val="left" w:pos="0"/>
          <w:tab w:val="left" w:pos="1080"/>
        </w:tabs>
        <w:spacing w:line="520" w:lineRule="exact"/>
        <w:ind w:left="0" w:firstLine="420"/>
        <w:rPr>
          <w:rStyle w:val="15"/>
          <w:rFonts w:hint="eastAsia" w:ascii="宋体" w:hAnsi="宋体"/>
          <w:sz w:val="24"/>
          <w:szCs w:val="24"/>
        </w:rPr>
      </w:pPr>
      <w:r>
        <w:rPr>
          <w:rStyle w:val="15"/>
          <w:rFonts w:hint="eastAsia" w:ascii="宋体" w:hAnsi="宋体"/>
          <w:sz w:val="24"/>
          <w:szCs w:val="24"/>
        </w:rPr>
        <w:t>分支机构投标的，须提供分支机构的营业执</w:t>
      </w:r>
      <w:r>
        <w:rPr>
          <w:rStyle w:val="15"/>
          <w:rFonts w:hint="eastAsia"/>
          <w:sz w:val="24"/>
          <w:szCs w:val="24"/>
        </w:rPr>
        <w:t>照（执业许可证）</w:t>
      </w:r>
      <w:r>
        <w:rPr>
          <w:rStyle w:val="15"/>
          <w:rFonts w:hint="eastAsia" w:ascii="宋体" w:hAnsi="宋体"/>
          <w:sz w:val="24"/>
          <w:szCs w:val="24"/>
        </w:rPr>
        <w:t>。</w:t>
      </w:r>
    </w:p>
    <w:p>
      <w:pPr>
        <w:spacing w:line="520" w:lineRule="exact"/>
        <w:rPr>
          <w:rFonts w:hint="eastAsia" w:ascii="宋体" w:hAnsi="宋体" w:cs="仿宋_GB2312"/>
          <w:sz w:val="24"/>
          <w:lang w:val="zh-CN"/>
        </w:rPr>
      </w:pPr>
      <w:r>
        <w:rPr>
          <w:rFonts w:hint="eastAsia" w:ascii="宋体" w:hAnsi="宋体" w:cs="仿宋_GB2312"/>
          <w:sz w:val="24"/>
          <w:lang w:val="zh-CN"/>
        </w:rPr>
        <w:t>（本提示内容非招标文件的组成部分，仅为善意提醒。如有不一致，以招标文件为准。）</w:t>
      </w:r>
    </w:p>
    <w:p>
      <w:pPr>
        <w:rPr>
          <w:rFonts w:hint="eastAsia" w:ascii="宋体" w:hAnsi="宋体"/>
        </w:rPr>
      </w:pPr>
      <w:r>
        <w:rPr>
          <w:rFonts w:hint="eastAsia" w:ascii="宋体" w:hAnsi="宋体"/>
        </w:rPr>
        <w:br w:type="page"/>
      </w:r>
      <w:bookmarkEnd w:id="12"/>
      <w:bookmarkEnd w:id="13"/>
      <w:bookmarkEnd w:id="14"/>
      <w:bookmarkEnd w:id="15"/>
      <w:bookmarkEnd w:id="16"/>
      <w:bookmarkStart w:id="21" w:name="EB95ab24c70248406eaf89d32885ed1c55"/>
      <w:bookmarkStart w:id="22" w:name="_Toc175644384"/>
      <w:bookmarkStart w:id="23" w:name="_Toc401575137"/>
      <w:r>
        <w:rPr>
          <w:rFonts w:hint="eastAsia" w:ascii="宋体" w:hAnsi="宋体"/>
          <w:sz w:val="20"/>
        </w:rPr>
        <w:t xml:space="preserve"> </w:t>
      </w:r>
      <w:bookmarkEnd w:id="21"/>
      <w:bookmarkStart w:id="24" w:name="EB1180e1e05f054f79bc3a335c1bd8e577"/>
      <w:bookmarkEnd w:id="24"/>
      <w:bookmarkStart w:id="25" w:name="EB98856677413d47c3955624c381d111d5"/>
      <w:bookmarkEnd w:id="25"/>
    </w:p>
    <w:p>
      <w:pPr>
        <w:rPr>
          <w:rFonts w:hint="eastAsia" w:ascii="宋体" w:hAnsi="宋体"/>
        </w:rPr>
      </w:pPr>
      <w:bookmarkStart w:id="26" w:name="EB290255371ea34f51bcd35ce1ccbb0604"/>
      <w:r>
        <w:rPr>
          <w:rFonts w:hint="eastAsia" w:ascii="宋体" w:hAnsi="宋体"/>
          <w:sz w:val="20"/>
        </w:rPr>
        <w:t xml:space="preserve"> </w:t>
      </w:r>
      <w:bookmarkEnd w:id="26"/>
    </w:p>
    <w:bookmarkEnd w:id="17"/>
    <w:bookmarkEnd w:id="18"/>
    <w:bookmarkEnd w:id="22"/>
    <w:bookmarkEnd w:id="23"/>
    <w:p>
      <w:pPr>
        <w:pStyle w:val="3"/>
        <w:spacing w:before="0" w:after="0" w:line="440" w:lineRule="exact"/>
        <w:jc w:val="center"/>
        <w:rPr>
          <w:rFonts w:hint="eastAsia" w:ascii="宋体" w:hAnsi="宋体"/>
          <w:sz w:val="36"/>
          <w:szCs w:val="36"/>
        </w:rPr>
      </w:pPr>
      <w:r>
        <w:rPr>
          <w:rFonts w:hint="eastAsia" w:ascii="宋体" w:hAnsi="宋体"/>
          <w:sz w:val="36"/>
          <w:szCs w:val="36"/>
        </w:rPr>
        <w:t>广州电缆厂有限公司</w:t>
      </w:r>
      <w:r>
        <w:rPr>
          <w:rFonts w:hint="eastAsia" w:ascii="宋体" w:hAnsi="宋体"/>
          <w:sz w:val="36"/>
          <w:szCs w:val="36"/>
          <w:lang w:val="en-US" w:eastAsia="zh-CN"/>
        </w:rPr>
        <w:t>2022</w:t>
      </w:r>
      <w:r>
        <w:rPr>
          <w:rFonts w:hint="eastAsia" w:ascii="宋体" w:hAnsi="宋体"/>
          <w:sz w:val="36"/>
          <w:szCs w:val="36"/>
        </w:rPr>
        <w:t>年度</w:t>
      </w:r>
      <w:r>
        <w:rPr>
          <w:rFonts w:hint="eastAsia" w:ascii="宋体" w:hAnsi="宋体"/>
          <w:sz w:val="36"/>
          <w:szCs w:val="36"/>
          <w:lang w:val="en-US" w:eastAsia="zh-CN"/>
        </w:rPr>
        <w:t>芜湖仓</w:t>
      </w:r>
      <w:r>
        <w:rPr>
          <w:rFonts w:hint="eastAsia" w:ascii="宋体" w:hAnsi="宋体"/>
          <w:sz w:val="36"/>
          <w:szCs w:val="36"/>
        </w:rPr>
        <w:t>货物运输</w:t>
      </w:r>
      <w:r>
        <w:rPr>
          <w:rFonts w:hint="eastAsia" w:ascii="宋体" w:hAnsi="宋体"/>
          <w:sz w:val="36"/>
          <w:szCs w:val="36"/>
          <w:lang w:eastAsia="zh-CN"/>
        </w:rPr>
        <w:t>招</w:t>
      </w:r>
      <w:r>
        <w:rPr>
          <w:rFonts w:hint="eastAsia" w:ascii="宋体" w:hAnsi="宋体"/>
          <w:sz w:val="36"/>
          <w:szCs w:val="36"/>
        </w:rPr>
        <w:t>标项目</w:t>
      </w:r>
    </w:p>
    <w:p>
      <w:pPr>
        <w:pStyle w:val="3"/>
        <w:spacing w:before="0" w:after="0" w:line="440" w:lineRule="exact"/>
        <w:jc w:val="center"/>
        <w:rPr>
          <w:rFonts w:hint="eastAsia" w:ascii="宋体" w:hAnsi="宋体"/>
          <w:sz w:val="36"/>
          <w:szCs w:val="36"/>
        </w:rPr>
      </w:pPr>
      <w:r>
        <w:rPr>
          <w:rFonts w:hint="eastAsia" w:ascii="宋体" w:hAnsi="宋体"/>
          <w:sz w:val="36"/>
          <w:szCs w:val="36"/>
        </w:rPr>
        <w:t>招标公告</w:t>
      </w:r>
    </w:p>
    <w:p>
      <w:pPr>
        <w:spacing w:line="440" w:lineRule="exact"/>
        <w:ind w:firstLine="482" w:firstLineChars="200"/>
        <w:rPr>
          <w:rFonts w:hint="eastAsia" w:ascii="宋体" w:hAnsi="宋体"/>
          <w:b/>
          <w:sz w:val="24"/>
          <w:szCs w:val="24"/>
        </w:rPr>
      </w:pPr>
    </w:p>
    <w:p>
      <w:pPr>
        <w:spacing w:line="440" w:lineRule="exact"/>
        <w:ind w:firstLine="480" w:firstLineChars="200"/>
        <w:rPr>
          <w:rFonts w:ascii="宋体" w:hAnsi="宋体" w:cs="Arial"/>
          <w:sz w:val="24"/>
          <w:szCs w:val="24"/>
        </w:rPr>
      </w:pPr>
      <w:r>
        <w:rPr>
          <w:rFonts w:hint="eastAsia" w:ascii="宋体" w:hAnsi="宋体"/>
          <w:sz w:val="24"/>
          <w:szCs w:val="24"/>
        </w:rPr>
        <w:t>广州电缆厂有限公司</w:t>
      </w:r>
      <w:r>
        <w:rPr>
          <w:rFonts w:hint="eastAsia" w:ascii="宋体" w:hAnsi="宋体"/>
          <w:sz w:val="24"/>
          <w:szCs w:val="24"/>
          <w:lang w:val="en-US" w:eastAsia="zh-CN"/>
        </w:rPr>
        <w:t>2022</w:t>
      </w:r>
      <w:r>
        <w:rPr>
          <w:rFonts w:hint="eastAsia" w:ascii="宋体" w:hAnsi="宋体"/>
          <w:sz w:val="24"/>
          <w:szCs w:val="24"/>
        </w:rPr>
        <w:t>年度</w:t>
      </w:r>
      <w:r>
        <w:rPr>
          <w:rFonts w:hint="eastAsia" w:ascii="宋体" w:hAnsi="宋体"/>
          <w:sz w:val="24"/>
          <w:szCs w:val="24"/>
          <w:lang w:val="en-US" w:eastAsia="zh-CN"/>
        </w:rPr>
        <w:t>芜湖仓</w:t>
      </w:r>
      <w:r>
        <w:rPr>
          <w:rFonts w:hint="eastAsia" w:ascii="宋体" w:hAnsi="宋体"/>
          <w:sz w:val="24"/>
          <w:szCs w:val="24"/>
        </w:rPr>
        <w:t>货物运输</w:t>
      </w:r>
      <w:r>
        <w:rPr>
          <w:rFonts w:hint="eastAsia" w:ascii="宋体" w:hAnsi="宋体"/>
          <w:sz w:val="24"/>
          <w:szCs w:val="24"/>
          <w:lang w:eastAsia="zh-CN"/>
        </w:rPr>
        <w:t>招</w:t>
      </w:r>
      <w:r>
        <w:rPr>
          <w:rFonts w:hint="eastAsia" w:ascii="宋体" w:hAnsi="宋体"/>
          <w:sz w:val="24"/>
          <w:szCs w:val="24"/>
        </w:rPr>
        <w:t>标项目的</w:t>
      </w:r>
      <w:r>
        <w:rPr>
          <w:rFonts w:hint="eastAsia" w:ascii="宋体" w:hAnsi="宋体" w:cs="Arial"/>
          <w:sz w:val="24"/>
          <w:szCs w:val="24"/>
        </w:rPr>
        <w:t>潜在投标人应在广州电缆厂有限公司官网（网址：http://www.gzdlc.com.cn）获取招标文件，并于</w:t>
      </w:r>
      <w:bookmarkStart w:id="27" w:name="EB73df37c9b21a4936af9f6a74e26d6fa5"/>
      <w:r>
        <w:rPr>
          <w:rFonts w:hint="eastAsia" w:ascii="宋体" w:hAnsi="宋体" w:cs="Arial"/>
          <w:sz w:val="24"/>
          <w:szCs w:val="24"/>
          <w:highlight w:val="none"/>
        </w:rPr>
        <w:t>2021年</w:t>
      </w:r>
      <w:r>
        <w:rPr>
          <w:rFonts w:hint="eastAsia" w:ascii="宋体" w:hAnsi="宋体" w:cs="Arial"/>
          <w:sz w:val="24"/>
          <w:szCs w:val="24"/>
          <w:highlight w:val="none"/>
          <w:lang w:val="en-US" w:eastAsia="zh-CN"/>
        </w:rPr>
        <w:t>11</w:t>
      </w:r>
      <w:r>
        <w:rPr>
          <w:rFonts w:hint="eastAsia" w:ascii="宋体" w:hAnsi="宋体" w:cs="Arial"/>
          <w:sz w:val="24"/>
          <w:szCs w:val="24"/>
          <w:highlight w:val="none"/>
        </w:rPr>
        <w:t>月</w:t>
      </w:r>
      <w:r>
        <w:rPr>
          <w:rFonts w:hint="eastAsia" w:ascii="宋体" w:hAnsi="宋体" w:cs="Arial"/>
          <w:sz w:val="24"/>
          <w:szCs w:val="24"/>
          <w:highlight w:val="none"/>
          <w:lang w:val="en-US" w:eastAsia="zh-CN"/>
        </w:rPr>
        <w:t>8</w:t>
      </w:r>
      <w:r>
        <w:rPr>
          <w:rFonts w:hint="eastAsia" w:ascii="宋体" w:hAnsi="宋体" w:cs="Arial"/>
          <w:sz w:val="24"/>
          <w:szCs w:val="24"/>
          <w:highlight w:val="none"/>
        </w:rPr>
        <w:t>日 9:00</w:t>
      </w:r>
      <w:bookmarkEnd w:id="27"/>
      <w:r>
        <w:rPr>
          <w:rFonts w:hint="eastAsia" w:ascii="宋体" w:hAnsi="宋体" w:cs="Arial"/>
          <w:sz w:val="24"/>
          <w:szCs w:val="24"/>
          <w:highlight w:val="none"/>
        </w:rPr>
        <w:t>（北京时间）</w:t>
      </w:r>
      <w:r>
        <w:rPr>
          <w:rFonts w:hint="eastAsia" w:ascii="宋体" w:hAnsi="宋体" w:cs="Arial"/>
          <w:sz w:val="24"/>
          <w:szCs w:val="24"/>
        </w:rPr>
        <w:t>前递交投标文件。</w:t>
      </w:r>
    </w:p>
    <w:p>
      <w:pPr>
        <w:spacing w:line="440" w:lineRule="exact"/>
        <w:ind w:firstLine="482" w:firstLineChars="200"/>
        <w:rPr>
          <w:rFonts w:hint="eastAsia" w:ascii="宋体" w:hAnsi="宋体" w:cs="Arial"/>
          <w:b/>
          <w:sz w:val="24"/>
          <w:szCs w:val="24"/>
        </w:rPr>
      </w:pPr>
      <w:r>
        <w:rPr>
          <w:rFonts w:hint="eastAsia" w:ascii="宋体" w:hAnsi="宋体" w:cs="Arial"/>
          <w:b/>
          <w:sz w:val="24"/>
          <w:szCs w:val="24"/>
        </w:rPr>
        <w:t>一、项目基本情况</w:t>
      </w:r>
    </w:p>
    <w:p>
      <w:pPr>
        <w:spacing w:line="440" w:lineRule="exact"/>
        <w:ind w:firstLine="480" w:firstLineChars="200"/>
        <w:rPr>
          <w:rFonts w:hint="default" w:ascii="宋体" w:hAnsi="宋体" w:cs="Arial"/>
          <w:sz w:val="24"/>
          <w:szCs w:val="24"/>
          <w:lang w:val="en-US" w:eastAsia="zh-CN"/>
        </w:rPr>
      </w:pPr>
      <w:r>
        <w:rPr>
          <w:rFonts w:hint="eastAsia" w:ascii="宋体" w:hAnsi="宋体" w:cs="Arial"/>
          <w:sz w:val="24"/>
          <w:szCs w:val="24"/>
        </w:rPr>
        <w:t>项目编号： GL</w:t>
      </w:r>
      <w:r>
        <w:rPr>
          <w:rFonts w:hint="eastAsia" w:ascii="宋体" w:hAnsi="宋体" w:cs="Arial"/>
          <w:sz w:val="24"/>
          <w:szCs w:val="24"/>
          <w:lang w:val="en-US" w:eastAsia="zh-CN"/>
        </w:rPr>
        <w:t>WL</w:t>
      </w:r>
      <w:r>
        <w:rPr>
          <w:rFonts w:hint="eastAsia" w:ascii="宋体" w:hAnsi="宋体" w:cs="Arial"/>
          <w:sz w:val="24"/>
          <w:szCs w:val="24"/>
        </w:rPr>
        <w:t>202</w:t>
      </w:r>
      <w:r>
        <w:rPr>
          <w:rFonts w:hint="eastAsia" w:ascii="宋体" w:hAnsi="宋体" w:cs="Arial"/>
          <w:sz w:val="24"/>
          <w:szCs w:val="24"/>
          <w:lang w:val="en-US" w:eastAsia="zh-CN"/>
        </w:rPr>
        <w:t>10003</w:t>
      </w:r>
    </w:p>
    <w:p>
      <w:pPr>
        <w:spacing w:line="440" w:lineRule="exact"/>
        <w:ind w:firstLine="480" w:firstLineChars="200"/>
        <w:rPr>
          <w:rFonts w:hint="eastAsia" w:ascii="宋体" w:hAnsi="宋体"/>
          <w:sz w:val="24"/>
          <w:szCs w:val="24"/>
        </w:rPr>
      </w:pPr>
      <w:r>
        <w:rPr>
          <w:rFonts w:hint="eastAsia" w:ascii="宋体" w:hAnsi="宋体" w:cs="Arial"/>
          <w:sz w:val="24"/>
          <w:szCs w:val="24"/>
        </w:rPr>
        <w:t>项目名称：</w:t>
      </w:r>
      <w:r>
        <w:rPr>
          <w:rFonts w:hint="eastAsia" w:ascii="宋体" w:hAnsi="宋体"/>
          <w:sz w:val="24"/>
          <w:szCs w:val="24"/>
        </w:rPr>
        <w:t>广州电缆厂有限公司</w:t>
      </w:r>
      <w:r>
        <w:rPr>
          <w:rFonts w:hint="eastAsia" w:ascii="宋体" w:hAnsi="宋体"/>
          <w:sz w:val="24"/>
          <w:szCs w:val="24"/>
          <w:lang w:val="en-US" w:eastAsia="zh-CN"/>
        </w:rPr>
        <w:t>2022</w:t>
      </w:r>
      <w:r>
        <w:rPr>
          <w:rFonts w:hint="eastAsia" w:ascii="宋体" w:hAnsi="宋体"/>
          <w:sz w:val="24"/>
          <w:szCs w:val="24"/>
        </w:rPr>
        <w:t>年度</w:t>
      </w:r>
      <w:r>
        <w:rPr>
          <w:rFonts w:hint="eastAsia" w:ascii="宋体" w:hAnsi="宋体"/>
          <w:sz w:val="24"/>
          <w:szCs w:val="24"/>
          <w:lang w:val="en-US" w:eastAsia="zh-CN"/>
        </w:rPr>
        <w:t>芜湖仓</w:t>
      </w:r>
      <w:r>
        <w:rPr>
          <w:rFonts w:hint="eastAsia" w:ascii="宋体" w:hAnsi="宋体"/>
          <w:sz w:val="24"/>
          <w:szCs w:val="24"/>
        </w:rPr>
        <w:t>货物运输</w:t>
      </w:r>
      <w:r>
        <w:rPr>
          <w:rFonts w:hint="eastAsia" w:ascii="宋体" w:hAnsi="宋体"/>
          <w:sz w:val="24"/>
          <w:szCs w:val="24"/>
          <w:lang w:eastAsia="zh-CN"/>
        </w:rPr>
        <w:t>招</w:t>
      </w:r>
      <w:r>
        <w:rPr>
          <w:rFonts w:hint="eastAsia" w:ascii="宋体" w:hAnsi="宋体"/>
          <w:sz w:val="24"/>
          <w:szCs w:val="24"/>
        </w:rPr>
        <w:t>标项目</w:t>
      </w:r>
    </w:p>
    <w:p>
      <w:pPr>
        <w:spacing w:line="440" w:lineRule="exact"/>
        <w:ind w:firstLine="480" w:firstLineChars="200"/>
        <w:rPr>
          <w:rFonts w:hint="eastAsia" w:ascii="宋体" w:hAnsi="宋体"/>
          <w:sz w:val="20"/>
          <w:szCs w:val="24"/>
        </w:rPr>
      </w:pPr>
      <w:r>
        <w:rPr>
          <w:rFonts w:hint="eastAsia" w:ascii="宋体" w:hAnsi="宋体"/>
          <w:sz w:val="24"/>
          <w:szCs w:val="24"/>
        </w:rPr>
        <w:t>项目地址：广州市南沙区榄核镇榄张路51号</w:t>
      </w:r>
      <w:bookmarkStart w:id="28" w:name="EBe81c38a5c7684373b0a24d97784e0eed"/>
      <w:r>
        <w:rPr>
          <w:rFonts w:ascii="宋体" w:hAnsi="宋体" w:cs="宋体"/>
          <w:sz w:val="24"/>
        </w:rPr>
        <w:t xml:space="preserve"> </w:t>
      </w:r>
      <w:r>
        <w:rPr>
          <w:rFonts w:ascii="宋体" w:hAnsi="宋体"/>
          <w:sz w:val="20"/>
          <w:szCs w:val="24"/>
        </w:rPr>
        <w:t xml:space="preserve"> </w:t>
      </w:r>
      <w:bookmarkEnd w:id="28"/>
    </w:p>
    <w:p>
      <w:pPr>
        <w:spacing w:line="440" w:lineRule="exact"/>
        <w:ind w:firstLine="480" w:firstLineChars="200"/>
        <w:rPr>
          <w:rFonts w:hint="eastAsia" w:ascii="宋体" w:hAnsi="宋体"/>
          <w:sz w:val="24"/>
          <w:szCs w:val="24"/>
        </w:rPr>
      </w:pPr>
      <w:r>
        <w:rPr>
          <w:rFonts w:hint="eastAsia" w:ascii="宋体" w:hAnsi="宋体"/>
          <w:sz w:val="24"/>
          <w:szCs w:val="24"/>
        </w:rPr>
        <w:t>采购需求：</w:t>
      </w:r>
    </w:p>
    <w:p>
      <w:pPr>
        <w:spacing w:line="440" w:lineRule="exact"/>
        <w:ind w:firstLine="480" w:firstLineChars="200"/>
        <w:rPr>
          <w:rFonts w:hint="eastAsia" w:ascii="宋体" w:hAnsi="宋体"/>
          <w:sz w:val="24"/>
          <w:szCs w:val="24"/>
        </w:rPr>
      </w:pPr>
      <w:r>
        <w:rPr>
          <w:rFonts w:hint="eastAsia" w:ascii="宋体" w:hAnsi="宋体"/>
          <w:sz w:val="24"/>
          <w:szCs w:val="24"/>
        </w:rPr>
        <w:t>（一）标的的名称：</w:t>
      </w:r>
      <w:bookmarkStart w:id="29" w:name="EB926c59a0b1274e21af1bbab0a7d94824"/>
      <w:r>
        <w:rPr>
          <w:rFonts w:hint="eastAsia" w:ascii="宋体" w:hAnsi="宋体"/>
          <w:sz w:val="24"/>
          <w:szCs w:val="24"/>
          <w:lang w:eastAsia="zh-CN"/>
        </w:rPr>
        <w:t>物流运输</w:t>
      </w:r>
      <w:r>
        <w:rPr>
          <w:rFonts w:hint="eastAsia" w:ascii="宋体" w:hAnsi="宋体"/>
          <w:sz w:val="24"/>
          <w:szCs w:val="24"/>
        </w:rPr>
        <w:t>服务。</w:t>
      </w:r>
      <w:bookmarkEnd w:id="29"/>
    </w:p>
    <w:p>
      <w:pPr>
        <w:spacing w:line="440" w:lineRule="exact"/>
        <w:ind w:firstLine="480" w:firstLineChars="200"/>
        <w:rPr>
          <w:rFonts w:hint="eastAsia" w:ascii="宋体" w:hAnsi="宋体"/>
          <w:sz w:val="24"/>
          <w:szCs w:val="24"/>
        </w:rPr>
      </w:pPr>
      <w:r>
        <w:rPr>
          <w:rFonts w:hint="eastAsia" w:ascii="宋体" w:hAnsi="宋体"/>
          <w:sz w:val="24"/>
          <w:szCs w:val="24"/>
        </w:rPr>
        <w:t>（二）数量：</w:t>
      </w:r>
      <w:bookmarkStart w:id="30" w:name="EBfe5b5c58bf2a4c14b1857f110e044380"/>
      <w:r>
        <w:rPr>
          <w:rFonts w:hint="eastAsia" w:ascii="宋体" w:hAnsi="宋体"/>
          <w:sz w:val="24"/>
          <w:szCs w:val="24"/>
        </w:rPr>
        <w:t>一项。</w:t>
      </w:r>
      <w:bookmarkEnd w:id="30"/>
    </w:p>
    <w:p>
      <w:pPr>
        <w:spacing w:line="440" w:lineRule="exact"/>
        <w:ind w:left="719" w:leftChars="228" w:hanging="240" w:hangingChars="100"/>
        <w:rPr>
          <w:rFonts w:hint="eastAsia" w:ascii="宋体" w:hAnsi="宋体"/>
          <w:sz w:val="24"/>
          <w:szCs w:val="24"/>
        </w:rPr>
      </w:pPr>
      <w:r>
        <w:rPr>
          <w:rFonts w:hint="eastAsia" w:ascii="宋体" w:hAnsi="宋体"/>
          <w:sz w:val="24"/>
          <w:szCs w:val="24"/>
        </w:rPr>
        <w:t>（三）简要技术需求或服务要求：</w:t>
      </w:r>
      <w:bookmarkStart w:id="31" w:name="EB56706c1e91ff48318b88b41c371aa072"/>
      <w:r>
        <w:rPr>
          <w:rFonts w:hint="eastAsia" w:ascii="宋体" w:hAnsi="宋体"/>
          <w:sz w:val="24"/>
          <w:szCs w:val="24"/>
        </w:rPr>
        <w:t>广州电缆厂有限公司</w:t>
      </w:r>
      <w:r>
        <w:rPr>
          <w:rFonts w:hint="eastAsia" w:ascii="宋体" w:hAnsi="宋体"/>
          <w:sz w:val="24"/>
          <w:szCs w:val="24"/>
          <w:lang w:val="en-US" w:eastAsia="zh-CN"/>
        </w:rPr>
        <w:t>2022</w:t>
      </w:r>
      <w:r>
        <w:rPr>
          <w:rFonts w:hint="eastAsia" w:ascii="宋体" w:hAnsi="宋体"/>
          <w:sz w:val="24"/>
          <w:szCs w:val="24"/>
        </w:rPr>
        <w:t>年度</w:t>
      </w:r>
      <w:r>
        <w:rPr>
          <w:rFonts w:hint="eastAsia" w:ascii="宋体" w:hAnsi="宋体"/>
          <w:sz w:val="24"/>
          <w:szCs w:val="24"/>
          <w:lang w:val="en-US" w:eastAsia="zh-CN"/>
        </w:rPr>
        <w:t>芜湖仓</w:t>
      </w:r>
      <w:r>
        <w:rPr>
          <w:rFonts w:hint="eastAsia" w:ascii="宋体" w:hAnsi="宋体"/>
          <w:sz w:val="24"/>
          <w:szCs w:val="24"/>
        </w:rPr>
        <w:t>货物运输</w:t>
      </w:r>
      <w:r>
        <w:rPr>
          <w:rFonts w:hint="eastAsia" w:ascii="宋体" w:hAnsi="宋体"/>
          <w:sz w:val="24"/>
          <w:szCs w:val="24"/>
          <w:lang w:eastAsia="zh-CN"/>
        </w:rPr>
        <w:t>招</w:t>
      </w:r>
      <w:r>
        <w:rPr>
          <w:rFonts w:hint="eastAsia" w:ascii="宋体" w:hAnsi="宋体"/>
          <w:sz w:val="24"/>
          <w:szCs w:val="24"/>
        </w:rPr>
        <w:t>标项目，具体要求详见招标文件第二章采购需求。</w:t>
      </w:r>
      <w:bookmarkEnd w:id="31"/>
    </w:p>
    <w:p>
      <w:pPr>
        <w:spacing w:line="440" w:lineRule="exact"/>
        <w:ind w:firstLine="480" w:firstLineChars="200"/>
        <w:rPr>
          <w:rFonts w:hint="eastAsia" w:ascii="宋体" w:hAnsi="宋体"/>
          <w:sz w:val="24"/>
          <w:szCs w:val="24"/>
        </w:rPr>
      </w:pPr>
      <w:r>
        <w:rPr>
          <w:rFonts w:hint="eastAsia" w:ascii="宋体" w:hAnsi="宋体"/>
          <w:sz w:val="24"/>
          <w:szCs w:val="24"/>
        </w:rPr>
        <w:t>合同履行期限：</w:t>
      </w:r>
      <w:bookmarkStart w:id="32" w:name="EB0ce3ebad751248768157d79b064425a5"/>
      <w:r>
        <w:rPr>
          <w:rFonts w:hint="eastAsia" w:ascii="宋体" w:hAnsi="宋体"/>
          <w:sz w:val="24"/>
          <w:szCs w:val="24"/>
        </w:rPr>
        <w:t>202</w:t>
      </w:r>
      <w:r>
        <w:rPr>
          <w:rFonts w:hint="eastAsia" w:ascii="宋体" w:hAnsi="宋体"/>
          <w:sz w:val="24"/>
          <w:szCs w:val="24"/>
          <w:lang w:val="en-US" w:eastAsia="zh-CN"/>
        </w:rPr>
        <w:t>2</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月1日-202</w:t>
      </w:r>
      <w:r>
        <w:rPr>
          <w:rFonts w:hint="eastAsia" w:ascii="宋体" w:hAnsi="宋体"/>
          <w:sz w:val="24"/>
          <w:szCs w:val="24"/>
          <w:lang w:val="en-US" w:eastAsia="zh-CN"/>
        </w:rPr>
        <w:t>2</w:t>
      </w:r>
      <w:r>
        <w:rPr>
          <w:rFonts w:hint="eastAsia" w:ascii="宋体" w:hAnsi="宋体"/>
          <w:sz w:val="24"/>
          <w:szCs w:val="24"/>
        </w:rPr>
        <w:t>年</w:t>
      </w:r>
      <w:r>
        <w:rPr>
          <w:rFonts w:hint="eastAsia" w:ascii="宋体" w:hAnsi="宋体"/>
          <w:sz w:val="24"/>
          <w:szCs w:val="24"/>
          <w:lang w:val="en-US" w:eastAsia="zh-CN"/>
        </w:rPr>
        <w:t>12</w:t>
      </w:r>
      <w:r>
        <w:rPr>
          <w:rFonts w:hint="eastAsia" w:ascii="宋体" w:hAnsi="宋体"/>
          <w:sz w:val="24"/>
          <w:szCs w:val="24"/>
        </w:rPr>
        <w:t>月31日。</w:t>
      </w:r>
      <w:bookmarkEnd w:id="32"/>
    </w:p>
    <w:p>
      <w:pPr>
        <w:spacing w:line="440" w:lineRule="exact"/>
        <w:ind w:firstLine="482" w:firstLineChars="200"/>
        <w:rPr>
          <w:rFonts w:hint="eastAsia" w:ascii="宋体" w:hAnsi="宋体"/>
          <w:b/>
          <w:sz w:val="24"/>
          <w:szCs w:val="24"/>
        </w:rPr>
      </w:pPr>
      <w:r>
        <w:rPr>
          <w:rFonts w:hint="eastAsia" w:ascii="宋体" w:hAnsi="宋体"/>
          <w:b/>
          <w:sz w:val="24"/>
          <w:szCs w:val="24"/>
        </w:rPr>
        <w:t>二、申请人的资格要求：</w:t>
      </w:r>
    </w:p>
    <w:p>
      <w:pPr>
        <w:spacing w:line="440" w:lineRule="exact"/>
        <w:ind w:firstLine="480" w:firstLineChars="200"/>
        <w:rPr>
          <w:rFonts w:hint="eastAsia" w:ascii="宋体" w:hAnsi="宋体"/>
          <w:sz w:val="24"/>
          <w:szCs w:val="24"/>
        </w:rPr>
      </w:pPr>
      <w:bookmarkStart w:id="33" w:name="EBef56cf8a3e2f4dd4bcf9d81e04fbecbd"/>
      <w:r>
        <w:rPr>
          <w:rFonts w:ascii="宋体" w:hAnsi="宋体"/>
          <w:sz w:val="24"/>
          <w:szCs w:val="24"/>
        </w:rPr>
        <w:t>（一）</w:t>
      </w:r>
      <w:r>
        <w:rPr>
          <w:rFonts w:hint="eastAsia" w:ascii="宋体" w:hAnsi="宋体"/>
          <w:sz w:val="24"/>
          <w:szCs w:val="24"/>
        </w:rPr>
        <w:t>投标人必须是专业的物流承运商，经营范围必须包括仓储服务，装卸服务，道路货物运输等相关项目，有较强的仓储和配送能力、良好的企业信誉和售后服务能力。</w:t>
      </w:r>
    </w:p>
    <w:p>
      <w:pPr>
        <w:spacing w:line="440" w:lineRule="exact"/>
        <w:ind w:firstLine="480" w:firstLineChars="200"/>
        <w:rPr>
          <w:rFonts w:ascii="宋体" w:hAnsi="宋体"/>
          <w:sz w:val="24"/>
          <w:szCs w:val="24"/>
        </w:rPr>
      </w:pPr>
      <w:r>
        <w:rPr>
          <w:rFonts w:ascii="宋体" w:hAnsi="宋体"/>
          <w:sz w:val="24"/>
          <w:szCs w:val="24"/>
        </w:rPr>
        <w:t>（二）</w:t>
      </w:r>
      <w:bookmarkEnd w:id="33"/>
      <w:bookmarkStart w:id="34" w:name="EB187d59e75efc4e038fc4e4b65b392f75"/>
      <w:r>
        <w:rPr>
          <w:rFonts w:ascii="宋体" w:hAnsi="宋体"/>
          <w:sz w:val="24"/>
          <w:szCs w:val="24"/>
        </w:rPr>
        <w:t>本项目的特定资格要求：本项目不接受联合体投标。</w:t>
      </w:r>
      <w:bookmarkEnd w:id="34"/>
    </w:p>
    <w:p>
      <w:pPr>
        <w:spacing w:line="440" w:lineRule="exact"/>
        <w:ind w:firstLine="480" w:firstLineChars="200"/>
        <w:rPr>
          <w:rFonts w:hint="eastAsia" w:ascii="宋体" w:hAnsi="宋体"/>
          <w:sz w:val="24"/>
          <w:szCs w:val="24"/>
        </w:rPr>
      </w:pPr>
    </w:p>
    <w:p>
      <w:pPr>
        <w:spacing w:line="440" w:lineRule="exact"/>
        <w:ind w:firstLine="482" w:firstLineChars="200"/>
        <w:rPr>
          <w:rFonts w:hint="eastAsia" w:ascii="宋体" w:hAnsi="宋体"/>
          <w:b/>
          <w:sz w:val="24"/>
          <w:szCs w:val="24"/>
        </w:rPr>
      </w:pPr>
      <w:r>
        <w:rPr>
          <w:rFonts w:hint="eastAsia" w:ascii="宋体" w:hAnsi="宋体"/>
          <w:b/>
          <w:sz w:val="24"/>
          <w:szCs w:val="24"/>
        </w:rPr>
        <w:t>三、获取招标文件</w:t>
      </w:r>
    </w:p>
    <w:p>
      <w:pPr>
        <w:spacing w:line="440" w:lineRule="exact"/>
        <w:ind w:firstLine="480" w:firstLineChars="200"/>
        <w:rPr>
          <w:rFonts w:hint="eastAsia" w:ascii="宋体" w:hAnsi="宋体"/>
          <w:sz w:val="24"/>
          <w:szCs w:val="24"/>
        </w:rPr>
      </w:pPr>
      <w:r>
        <w:rPr>
          <w:rFonts w:hint="eastAsia" w:ascii="宋体" w:hAnsi="宋体"/>
          <w:sz w:val="24"/>
          <w:szCs w:val="24"/>
        </w:rPr>
        <w:t>时间：符合资格的供应商应当在</w:t>
      </w:r>
      <w:bookmarkStart w:id="35" w:name="EBb31f64e386e64594b45a7f2b53eb9556"/>
      <w:r>
        <w:rPr>
          <w:rFonts w:hint="eastAsia" w:ascii="宋体" w:hAnsi="宋体" w:cs="Arial"/>
          <w:sz w:val="24"/>
          <w:szCs w:val="24"/>
        </w:rPr>
        <w:t>2021年</w:t>
      </w:r>
      <w:bookmarkEnd w:id="35"/>
      <w:r>
        <w:rPr>
          <w:rFonts w:hint="eastAsia" w:ascii="宋体" w:hAnsi="宋体" w:cs="Arial"/>
          <w:sz w:val="24"/>
          <w:szCs w:val="24"/>
          <w:lang w:val="en-US" w:eastAsia="zh-CN"/>
        </w:rPr>
        <w:t>10</w:t>
      </w:r>
      <w:r>
        <w:rPr>
          <w:rFonts w:hint="eastAsia" w:ascii="宋体" w:hAnsi="宋体" w:cs="Arial"/>
          <w:sz w:val="24"/>
          <w:szCs w:val="24"/>
        </w:rPr>
        <w:t>月</w:t>
      </w:r>
      <w:r>
        <w:rPr>
          <w:rFonts w:hint="eastAsia" w:ascii="宋体" w:hAnsi="宋体" w:cs="Arial"/>
          <w:sz w:val="24"/>
          <w:szCs w:val="24"/>
          <w:lang w:val="en-US" w:eastAsia="zh-CN"/>
        </w:rPr>
        <w:t>18</w:t>
      </w:r>
      <w:r>
        <w:rPr>
          <w:rFonts w:hint="eastAsia" w:ascii="宋体" w:hAnsi="宋体" w:cs="Arial"/>
          <w:sz w:val="24"/>
          <w:szCs w:val="24"/>
        </w:rPr>
        <w:t>日公告之时自行广州电缆厂有限公司官网（网址：http://www.gzdlc.com.cn）获取招标文件</w:t>
      </w:r>
      <w:r>
        <w:rPr>
          <w:rFonts w:hint="eastAsia" w:ascii="宋体" w:hAnsi="宋体"/>
          <w:sz w:val="24"/>
        </w:rPr>
        <w:t>。</w:t>
      </w:r>
    </w:p>
    <w:p>
      <w:pPr>
        <w:spacing w:line="440" w:lineRule="exact"/>
        <w:ind w:firstLine="480" w:firstLineChars="200"/>
        <w:rPr>
          <w:rFonts w:hint="eastAsia" w:ascii="宋体" w:hAnsi="宋体"/>
          <w:sz w:val="24"/>
          <w:szCs w:val="24"/>
        </w:rPr>
      </w:pPr>
      <w:r>
        <w:rPr>
          <w:rFonts w:hint="eastAsia" w:ascii="宋体" w:hAnsi="宋体"/>
          <w:sz w:val="24"/>
          <w:szCs w:val="24"/>
        </w:rPr>
        <w:t>方式：自行下载。</w:t>
      </w:r>
    </w:p>
    <w:p>
      <w:pPr>
        <w:spacing w:line="440" w:lineRule="exact"/>
        <w:ind w:firstLine="480" w:firstLineChars="200"/>
        <w:rPr>
          <w:rFonts w:hint="eastAsia" w:ascii="宋体" w:hAnsi="宋体"/>
          <w:sz w:val="24"/>
          <w:szCs w:val="24"/>
        </w:rPr>
      </w:pPr>
      <w:r>
        <w:rPr>
          <w:rFonts w:hint="eastAsia" w:ascii="宋体" w:hAnsi="宋体"/>
          <w:sz w:val="24"/>
          <w:szCs w:val="24"/>
        </w:rPr>
        <w:t>售价：免费。</w:t>
      </w:r>
    </w:p>
    <w:p>
      <w:pPr>
        <w:spacing w:line="440" w:lineRule="exact"/>
        <w:ind w:firstLine="482" w:firstLineChars="200"/>
        <w:rPr>
          <w:rFonts w:hint="eastAsia" w:ascii="宋体" w:hAnsi="宋体"/>
          <w:sz w:val="24"/>
          <w:szCs w:val="24"/>
        </w:rPr>
      </w:pPr>
      <w:r>
        <w:rPr>
          <w:rFonts w:hint="eastAsia" w:ascii="宋体" w:hAnsi="宋体"/>
          <w:b/>
          <w:sz w:val="24"/>
          <w:szCs w:val="24"/>
        </w:rPr>
        <w:t>四、提交投标文件截止时间、开标时间和地点</w:t>
      </w:r>
    </w:p>
    <w:p>
      <w:pPr>
        <w:spacing w:line="440" w:lineRule="exact"/>
        <w:ind w:firstLine="480" w:firstLineChars="200"/>
        <w:rPr>
          <w:rFonts w:hint="eastAsia" w:ascii="宋体" w:hAnsi="宋体"/>
          <w:sz w:val="24"/>
          <w:szCs w:val="24"/>
        </w:rPr>
      </w:pPr>
      <w:r>
        <w:rPr>
          <w:rFonts w:hint="eastAsia" w:ascii="宋体" w:hAnsi="宋体"/>
          <w:sz w:val="24"/>
          <w:szCs w:val="24"/>
        </w:rPr>
        <w:t>（一）提交投标文件时间：</w:t>
      </w:r>
      <w:bookmarkStart w:id="36" w:name="EB243f613c0e4142348cb28322c82acac1"/>
      <w:r>
        <w:rPr>
          <w:rFonts w:hint="eastAsia" w:ascii="宋体" w:hAnsi="宋体"/>
          <w:sz w:val="24"/>
          <w:szCs w:val="24"/>
        </w:rPr>
        <w:t>2021年</w:t>
      </w:r>
      <w:r>
        <w:rPr>
          <w:rFonts w:hint="eastAsia" w:ascii="宋体" w:hAnsi="宋体"/>
          <w:sz w:val="24"/>
          <w:szCs w:val="24"/>
          <w:lang w:val="en-US" w:eastAsia="zh-CN"/>
        </w:rPr>
        <w:t>10</w:t>
      </w:r>
      <w:r>
        <w:rPr>
          <w:rFonts w:hint="eastAsia" w:ascii="宋体" w:hAnsi="宋体"/>
          <w:sz w:val="24"/>
          <w:szCs w:val="24"/>
        </w:rPr>
        <w:t>月</w:t>
      </w:r>
      <w:r>
        <w:rPr>
          <w:rFonts w:hint="eastAsia" w:ascii="宋体" w:hAnsi="宋体"/>
          <w:sz w:val="24"/>
          <w:szCs w:val="24"/>
          <w:lang w:val="en-US" w:eastAsia="zh-CN"/>
        </w:rPr>
        <w:t>18</w:t>
      </w:r>
      <w:r>
        <w:rPr>
          <w:rFonts w:hint="eastAsia" w:ascii="宋体" w:hAnsi="宋体"/>
          <w:sz w:val="24"/>
          <w:szCs w:val="24"/>
        </w:rPr>
        <w:t>日</w:t>
      </w:r>
      <w:bookmarkEnd w:id="36"/>
      <w:r>
        <w:rPr>
          <w:rFonts w:hint="eastAsia" w:ascii="宋体" w:hAnsi="宋体"/>
          <w:sz w:val="24"/>
          <w:szCs w:val="24"/>
        </w:rPr>
        <w:t>公告之时起至</w:t>
      </w:r>
      <w:bookmarkStart w:id="37" w:name="EBfae4a85647d347b3b09b6c5fc07c353f"/>
      <w:r>
        <w:rPr>
          <w:rFonts w:hint="eastAsia" w:ascii="宋体" w:hAnsi="宋体" w:cs="Arial"/>
          <w:sz w:val="24"/>
          <w:szCs w:val="24"/>
        </w:rPr>
        <w:t>2021年</w:t>
      </w:r>
      <w:r>
        <w:rPr>
          <w:rFonts w:hint="eastAsia" w:ascii="宋体" w:hAnsi="宋体" w:cs="Arial"/>
          <w:sz w:val="24"/>
          <w:szCs w:val="24"/>
          <w:lang w:val="en-US" w:eastAsia="zh-CN"/>
        </w:rPr>
        <w:t>11</w:t>
      </w:r>
      <w:r>
        <w:rPr>
          <w:rFonts w:hint="eastAsia" w:ascii="宋体" w:hAnsi="宋体" w:cs="Arial"/>
          <w:sz w:val="24"/>
          <w:szCs w:val="24"/>
        </w:rPr>
        <w:t>月</w:t>
      </w:r>
      <w:r>
        <w:rPr>
          <w:rFonts w:hint="eastAsia" w:ascii="宋体" w:hAnsi="宋体" w:cs="Arial"/>
          <w:sz w:val="24"/>
          <w:szCs w:val="24"/>
          <w:lang w:val="en-US" w:eastAsia="zh-CN"/>
        </w:rPr>
        <w:t>8</w:t>
      </w:r>
      <w:r>
        <w:rPr>
          <w:rFonts w:hint="eastAsia" w:ascii="宋体" w:hAnsi="宋体" w:cs="Arial"/>
          <w:sz w:val="24"/>
          <w:szCs w:val="24"/>
        </w:rPr>
        <w:t>日 9:00</w:t>
      </w:r>
      <w:bookmarkEnd w:id="37"/>
      <w:r>
        <w:rPr>
          <w:rFonts w:hint="eastAsia" w:ascii="宋体" w:hAnsi="宋体" w:cs="Arial"/>
          <w:sz w:val="24"/>
          <w:szCs w:val="24"/>
        </w:rPr>
        <w:t>（北京时间）</w:t>
      </w:r>
      <w:r>
        <w:rPr>
          <w:rFonts w:ascii="宋体" w:hAnsi="宋体" w:cs="Arial"/>
          <w:sz w:val="24"/>
          <w:szCs w:val="24"/>
        </w:rPr>
        <w:t>。</w:t>
      </w:r>
    </w:p>
    <w:p>
      <w:pPr>
        <w:spacing w:line="440" w:lineRule="exact"/>
        <w:ind w:firstLine="480" w:firstLineChars="200"/>
        <w:rPr>
          <w:rFonts w:ascii="宋体" w:hAnsi="宋体"/>
          <w:sz w:val="24"/>
          <w:szCs w:val="24"/>
        </w:rPr>
      </w:pPr>
      <w:r>
        <w:rPr>
          <w:rFonts w:hint="eastAsia" w:ascii="宋体" w:hAnsi="宋体"/>
          <w:sz w:val="24"/>
          <w:szCs w:val="24"/>
        </w:rPr>
        <w:t>（二）提交投标文件截止时间：</w:t>
      </w:r>
      <w:bookmarkStart w:id="38" w:name="EB053b400bade94be288048635d81830c9"/>
      <w:r>
        <w:rPr>
          <w:rFonts w:hint="eastAsia" w:ascii="宋体" w:hAnsi="宋体" w:cs="Arial"/>
          <w:sz w:val="24"/>
          <w:szCs w:val="24"/>
        </w:rPr>
        <w:t>2021</w:t>
      </w:r>
      <w:r>
        <w:rPr>
          <w:rFonts w:hint="eastAsia" w:ascii="宋体" w:hAnsi="宋体" w:cs="Arial"/>
          <w:sz w:val="24"/>
          <w:szCs w:val="24"/>
          <w:lang w:val="en-US" w:eastAsia="zh-CN"/>
        </w:rPr>
        <w:t>年11</w:t>
      </w:r>
      <w:r>
        <w:rPr>
          <w:rFonts w:hint="eastAsia" w:ascii="宋体" w:hAnsi="宋体" w:cs="Arial"/>
          <w:sz w:val="24"/>
          <w:szCs w:val="24"/>
        </w:rPr>
        <w:t>月</w:t>
      </w:r>
      <w:r>
        <w:rPr>
          <w:rFonts w:hint="eastAsia" w:ascii="宋体" w:hAnsi="宋体" w:cs="Arial"/>
          <w:sz w:val="24"/>
          <w:szCs w:val="24"/>
          <w:lang w:val="en-US" w:eastAsia="zh-CN"/>
        </w:rPr>
        <w:t>8</w:t>
      </w:r>
      <w:r>
        <w:rPr>
          <w:rFonts w:hint="eastAsia" w:ascii="宋体" w:hAnsi="宋体" w:cs="Arial"/>
          <w:sz w:val="24"/>
          <w:szCs w:val="24"/>
        </w:rPr>
        <w:t>日 9:00</w:t>
      </w:r>
      <w:bookmarkEnd w:id="38"/>
      <w:r>
        <w:rPr>
          <w:rFonts w:hint="eastAsia" w:ascii="宋体" w:hAnsi="宋体" w:cs="Arial"/>
          <w:sz w:val="24"/>
          <w:szCs w:val="24"/>
        </w:rPr>
        <w:t>（北京时间）</w:t>
      </w:r>
      <w:r>
        <w:rPr>
          <w:rFonts w:hint="eastAsia" w:ascii="宋体" w:hAnsi="宋体"/>
          <w:sz w:val="24"/>
          <w:szCs w:val="24"/>
        </w:rPr>
        <w:t>。</w:t>
      </w:r>
    </w:p>
    <w:p>
      <w:pPr>
        <w:spacing w:line="440" w:lineRule="exact"/>
        <w:ind w:firstLine="480" w:firstLineChars="200"/>
        <w:rPr>
          <w:rFonts w:hint="eastAsia" w:ascii="宋体" w:hAnsi="宋体"/>
          <w:sz w:val="24"/>
          <w:szCs w:val="24"/>
        </w:rPr>
      </w:pPr>
      <w:r>
        <w:rPr>
          <w:rFonts w:hint="eastAsia" w:ascii="宋体" w:hAnsi="宋体"/>
          <w:sz w:val="24"/>
          <w:szCs w:val="24"/>
        </w:rPr>
        <w:t>（三）供应商提交投标文件的方式：提交纸质文件，并按招标要求密封加印，快递或递交至广州电缆厂有限公司采购部（广州市南沙区榄核镇榄张路51号）</w:t>
      </w:r>
      <w:r>
        <w:rPr>
          <w:rFonts w:hint="eastAsia" w:ascii="宋体" w:hAnsi="宋体" w:cs="Arial"/>
          <w:sz w:val="24"/>
          <w:szCs w:val="24"/>
        </w:rPr>
        <w:t>。</w:t>
      </w:r>
    </w:p>
    <w:p>
      <w:pPr>
        <w:spacing w:line="440" w:lineRule="exact"/>
        <w:ind w:firstLine="480" w:firstLineChars="200"/>
        <w:rPr>
          <w:rFonts w:hint="eastAsia" w:ascii="宋体" w:hAnsi="宋体"/>
          <w:sz w:val="24"/>
          <w:szCs w:val="24"/>
        </w:rPr>
      </w:pPr>
      <w:r>
        <w:rPr>
          <w:rFonts w:hint="eastAsia" w:ascii="宋体" w:hAnsi="宋体"/>
          <w:sz w:val="24"/>
          <w:szCs w:val="24"/>
        </w:rPr>
        <w:t>（四）开标时间：待定</w:t>
      </w:r>
      <w:r>
        <w:rPr>
          <w:rFonts w:ascii="宋体" w:hAnsi="宋体"/>
          <w:sz w:val="24"/>
          <w:szCs w:val="24"/>
        </w:rPr>
        <w:t>。</w:t>
      </w:r>
    </w:p>
    <w:p>
      <w:pPr>
        <w:spacing w:line="440" w:lineRule="exact"/>
        <w:ind w:firstLine="480" w:firstLineChars="200"/>
        <w:rPr>
          <w:rFonts w:hint="eastAsia" w:ascii="宋体" w:hAnsi="宋体"/>
          <w:sz w:val="24"/>
          <w:szCs w:val="24"/>
        </w:rPr>
      </w:pPr>
      <w:r>
        <w:rPr>
          <w:rFonts w:hint="eastAsia" w:ascii="宋体" w:hAnsi="宋体" w:cs="Arial"/>
          <w:sz w:val="24"/>
          <w:szCs w:val="24"/>
        </w:rPr>
        <w:t>（五）开标方式：内部开标，不做现场公开唱标。</w:t>
      </w:r>
    </w:p>
    <w:p>
      <w:pPr>
        <w:spacing w:line="440" w:lineRule="exact"/>
        <w:ind w:firstLine="480" w:firstLineChars="200"/>
        <w:rPr>
          <w:rFonts w:hint="eastAsia" w:ascii="宋体" w:hAnsi="宋体"/>
          <w:sz w:val="24"/>
          <w:szCs w:val="24"/>
        </w:rPr>
      </w:pPr>
      <w:r>
        <w:rPr>
          <w:rFonts w:hint="eastAsia" w:ascii="宋体" w:hAnsi="宋体"/>
          <w:sz w:val="24"/>
          <w:szCs w:val="24"/>
        </w:rPr>
        <w:t>（六）开标地点：</w:t>
      </w:r>
      <w:r>
        <w:rPr>
          <w:rFonts w:hint="eastAsia" w:ascii="宋体" w:hAnsi="宋体" w:cs="Arial"/>
          <w:sz w:val="24"/>
          <w:szCs w:val="24"/>
        </w:rPr>
        <w:t>广州电缆厂有限公司内部。</w:t>
      </w:r>
    </w:p>
    <w:p>
      <w:pPr>
        <w:spacing w:line="440" w:lineRule="exact"/>
        <w:ind w:firstLine="482" w:firstLineChars="200"/>
        <w:rPr>
          <w:rFonts w:hint="eastAsia" w:ascii="宋体" w:hAnsi="宋体" w:cs="Arial"/>
          <w:b/>
          <w:sz w:val="24"/>
          <w:szCs w:val="24"/>
        </w:rPr>
      </w:pPr>
      <w:r>
        <w:rPr>
          <w:rFonts w:hint="eastAsia" w:ascii="宋体" w:hAnsi="宋体" w:cs="Arial"/>
          <w:b/>
          <w:sz w:val="24"/>
          <w:szCs w:val="24"/>
        </w:rPr>
        <w:t>五、公告期限</w:t>
      </w:r>
    </w:p>
    <w:p>
      <w:pPr>
        <w:spacing w:line="440" w:lineRule="exact"/>
        <w:ind w:firstLine="480" w:firstLineChars="200"/>
        <w:rPr>
          <w:rFonts w:hint="eastAsia" w:ascii="宋体" w:hAnsi="宋体" w:cs="Arial"/>
          <w:sz w:val="24"/>
          <w:szCs w:val="24"/>
        </w:rPr>
      </w:pPr>
      <w:r>
        <w:rPr>
          <w:rFonts w:hint="eastAsia" w:ascii="宋体" w:hAnsi="宋体"/>
          <w:sz w:val="24"/>
          <w:szCs w:val="24"/>
        </w:rPr>
        <w:t>自本公告发布之日起</w:t>
      </w:r>
      <w:r>
        <w:rPr>
          <w:rFonts w:hint="eastAsia" w:ascii="宋体" w:hAnsi="宋体"/>
          <w:sz w:val="24"/>
          <w:szCs w:val="24"/>
          <w:lang w:val="en-US" w:eastAsia="zh-CN"/>
        </w:rPr>
        <w:t>5天</w:t>
      </w:r>
      <w:r>
        <w:rPr>
          <w:rFonts w:hint="eastAsia" w:ascii="宋体" w:hAnsi="宋体" w:cs="Arial"/>
          <w:sz w:val="24"/>
          <w:szCs w:val="24"/>
        </w:rPr>
        <w:t>。</w:t>
      </w:r>
    </w:p>
    <w:p>
      <w:pPr>
        <w:spacing w:line="440" w:lineRule="exact"/>
        <w:ind w:firstLine="482" w:firstLineChars="200"/>
        <w:rPr>
          <w:rFonts w:hint="eastAsia" w:ascii="宋体" w:hAnsi="宋体" w:cs="Arial"/>
          <w:b/>
          <w:sz w:val="24"/>
          <w:szCs w:val="24"/>
        </w:rPr>
      </w:pPr>
      <w:r>
        <w:rPr>
          <w:rFonts w:hint="eastAsia" w:ascii="宋体" w:hAnsi="宋体" w:cs="Arial"/>
          <w:b/>
          <w:sz w:val="24"/>
          <w:szCs w:val="24"/>
        </w:rPr>
        <w:t>六、其他补充事宜</w:t>
      </w:r>
    </w:p>
    <w:p>
      <w:pPr>
        <w:spacing w:line="440" w:lineRule="exact"/>
        <w:ind w:firstLine="480" w:firstLineChars="200"/>
        <w:rPr>
          <w:rFonts w:hint="eastAsia" w:ascii="宋体" w:hAnsi="宋体"/>
          <w:sz w:val="24"/>
          <w:szCs w:val="24"/>
        </w:rPr>
      </w:pPr>
      <w:bookmarkStart w:id="39" w:name="EB936c276c2ca04a36be5b5f6f57ae1f1c"/>
      <w:r>
        <w:rPr>
          <w:rFonts w:ascii="宋体" w:hAnsi="宋体"/>
          <w:sz w:val="24"/>
          <w:szCs w:val="24"/>
        </w:rPr>
        <w:t>现场考察及招标答疑会</w:t>
      </w:r>
      <w:bookmarkEnd w:id="39"/>
    </w:p>
    <w:tbl>
      <w:tblPr>
        <w:tblStyle w:val="14"/>
        <w:tblW w:w="9412" w:type="dxa"/>
        <w:tblInd w:w="0" w:type="dxa"/>
        <w:tblLayout w:type="fixed"/>
        <w:tblCellMar>
          <w:top w:w="0" w:type="dxa"/>
          <w:left w:w="0" w:type="dxa"/>
          <w:bottom w:w="0" w:type="dxa"/>
          <w:right w:w="0" w:type="dxa"/>
        </w:tblCellMar>
      </w:tblPr>
      <w:tblGrid>
        <w:gridCol w:w="9412"/>
      </w:tblGrid>
      <w:tr>
        <w:tblPrEx>
          <w:tblLayout w:type="fixed"/>
          <w:tblCellMar>
            <w:top w:w="0" w:type="dxa"/>
            <w:left w:w="0" w:type="dxa"/>
            <w:bottom w:w="0" w:type="dxa"/>
            <w:right w:w="0" w:type="dxa"/>
          </w:tblCellMar>
        </w:tblPrEx>
        <w:tc>
          <w:tcPr>
            <w:tcW w:w="9412" w:type="dxa"/>
            <w:vAlign w:val="center"/>
          </w:tcPr>
          <w:p>
            <w:pPr>
              <w:spacing w:line="440" w:lineRule="exact"/>
              <w:ind w:firstLine="480" w:firstLineChars="200"/>
              <w:rPr>
                <w:rFonts w:ascii="宋体" w:hAnsi="宋体"/>
                <w:sz w:val="24"/>
                <w:szCs w:val="24"/>
              </w:rPr>
            </w:pPr>
            <w:r>
              <w:rPr>
                <w:rFonts w:ascii="宋体" w:hAnsi="宋体"/>
                <w:sz w:val="24"/>
                <w:szCs w:val="24"/>
              </w:rPr>
              <w:t>1、本项目不需要现场考察。</w:t>
            </w:r>
          </w:p>
        </w:tc>
      </w:tr>
      <w:tr>
        <w:tblPrEx>
          <w:tblLayout w:type="fixed"/>
          <w:tblCellMar>
            <w:top w:w="0" w:type="dxa"/>
            <w:left w:w="0" w:type="dxa"/>
            <w:bottom w:w="0" w:type="dxa"/>
            <w:right w:w="0" w:type="dxa"/>
          </w:tblCellMar>
        </w:tblPrEx>
        <w:tc>
          <w:tcPr>
            <w:tcW w:w="9412" w:type="dxa"/>
            <w:vAlign w:val="center"/>
          </w:tcPr>
          <w:p>
            <w:pPr>
              <w:spacing w:line="440" w:lineRule="exact"/>
              <w:ind w:firstLine="480" w:firstLineChars="200"/>
              <w:rPr>
                <w:rFonts w:ascii="宋体" w:hAnsi="宋体"/>
                <w:sz w:val="24"/>
                <w:szCs w:val="24"/>
              </w:rPr>
            </w:pPr>
            <w:r>
              <w:rPr>
                <w:rFonts w:ascii="宋体" w:hAnsi="宋体"/>
                <w:sz w:val="24"/>
                <w:szCs w:val="24"/>
              </w:rPr>
              <w:t>2、本项目不需要现场招标答疑会。</w:t>
            </w:r>
          </w:p>
        </w:tc>
      </w:tr>
    </w:tbl>
    <w:p>
      <w:pPr>
        <w:spacing w:line="440" w:lineRule="exact"/>
        <w:ind w:firstLine="482" w:firstLineChars="200"/>
        <w:rPr>
          <w:rFonts w:hint="eastAsia" w:ascii="宋体" w:hAnsi="宋体"/>
          <w:sz w:val="24"/>
          <w:szCs w:val="24"/>
        </w:rPr>
      </w:pPr>
      <w:r>
        <w:rPr>
          <w:rFonts w:hint="eastAsia" w:ascii="宋体" w:hAnsi="宋体" w:cs="Arial"/>
          <w:b/>
          <w:sz w:val="24"/>
          <w:szCs w:val="24"/>
        </w:rPr>
        <w:t>七、对本次招标提出询问，请按以下方式联系</w:t>
      </w:r>
    </w:p>
    <w:tbl>
      <w:tblPr>
        <w:tblStyle w:val="14"/>
        <w:tblW w:w="9412" w:type="dxa"/>
        <w:tblInd w:w="0" w:type="dxa"/>
        <w:tblLayout w:type="fixed"/>
        <w:tblCellMar>
          <w:top w:w="0" w:type="dxa"/>
          <w:left w:w="0" w:type="dxa"/>
          <w:bottom w:w="0" w:type="dxa"/>
          <w:right w:w="0" w:type="dxa"/>
        </w:tblCellMar>
      </w:tblPr>
      <w:tblGrid>
        <w:gridCol w:w="9412"/>
      </w:tblGrid>
      <w:tr>
        <w:tblPrEx>
          <w:tblLayout w:type="fixed"/>
          <w:tblCellMar>
            <w:top w:w="0" w:type="dxa"/>
            <w:left w:w="0" w:type="dxa"/>
            <w:bottom w:w="0" w:type="dxa"/>
            <w:right w:w="0" w:type="dxa"/>
          </w:tblCellMar>
        </w:tblPrEx>
        <w:tc>
          <w:tcPr>
            <w:tcW w:w="9412" w:type="dxa"/>
            <w:vAlign w:val="center"/>
          </w:tcPr>
          <w:p>
            <w:pPr>
              <w:spacing w:line="440" w:lineRule="exact"/>
              <w:ind w:firstLine="480" w:firstLineChars="200"/>
              <w:rPr>
                <w:rFonts w:ascii="宋体" w:hAnsi="宋体"/>
                <w:sz w:val="24"/>
                <w:szCs w:val="24"/>
              </w:rPr>
            </w:pPr>
            <w:r>
              <w:rPr>
                <w:rFonts w:ascii="宋体" w:hAnsi="宋体"/>
                <w:sz w:val="24"/>
                <w:szCs w:val="24"/>
              </w:rPr>
              <w:t>采购人名称：广州电缆厂有限公司</w:t>
            </w:r>
          </w:p>
        </w:tc>
      </w:tr>
      <w:tr>
        <w:tblPrEx>
          <w:tblLayout w:type="fixed"/>
          <w:tblCellMar>
            <w:top w:w="0" w:type="dxa"/>
            <w:left w:w="0" w:type="dxa"/>
            <w:bottom w:w="0" w:type="dxa"/>
            <w:right w:w="0" w:type="dxa"/>
          </w:tblCellMar>
        </w:tblPrEx>
        <w:tc>
          <w:tcPr>
            <w:tcW w:w="9412" w:type="dxa"/>
            <w:vAlign w:val="center"/>
          </w:tcPr>
          <w:p>
            <w:pPr>
              <w:spacing w:line="440" w:lineRule="exact"/>
              <w:ind w:firstLine="480" w:firstLineChars="200"/>
              <w:rPr>
                <w:rFonts w:ascii="宋体" w:hAnsi="宋体"/>
                <w:sz w:val="24"/>
                <w:szCs w:val="24"/>
              </w:rPr>
            </w:pPr>
            <w:r>
              <w:rPr>
                <w:rFonts w:ascii="宋体" w:hAnsi="宋体"/>
                <w:sz w:val="24"/>
                <w:szCs w:val="24"/>
              </w:rPr>
              <w:t>采购人地址：广州市</w:t>
            </w:r>
            <w:r>
              <w:rPr>
                <w:rFonts w:hint="eastAsia" w:ascii="宋体" w:hAnsi="宋体"/>
                <w:sz w:val="24"/>
                <w:szCs w:val="24"/>
              </w:rPr>
              <w:t>南沙区榄核镇榄张路51号</w:t>
            </w:r>
          </w:p>
        </w:tc>
      </w:tr>
      <w:tr>
        <w:tblPrEx>
          <w:tblLayout w:type="fixed"/>
          <w:tblCellMar>
            <w:top w:w="0" w:type="dxa"/>
            <w:left w:w="0" w:type="dxa"/>
            <w:bottom w:w="0" w:type="dxa"/>
            <w:right w:w="0" w:type="dxa"/>
          </w:tblCellMar>
        </w:tblPrEx>
        <w:tc>
          <w:tcPr>
            <w:tcW w:w="9412" w:type="dxa"/>
            <w:vAlign w:val="center"/>
          </w:tcPr>
          <w:p>
            <w:pPr>
              <w:spacing w:line="440" w:lineRule="exact"/>
              <w:ind w:firstLine="480" w:firstLineChars="200"/>
              <w:rPr>
                <w:rFonts w:ascii="宋体" w:hAnsi="宋体"/>
                <w:sz w:val="24"/>
                <w:szCs w:val="24"/>
              </w:rPr>
            </w:pPr>
            <w:r>
              <w:rPr>
                <w:rFonts w:ascii="宋体" w:hAnsi="宋体"/>
                <w:sz w:val="24"/>
                <w:szCs w:val="24"/>
              </w:rPr>
              <w:t>联系人：</w:t>
            </w:r>
            <w:r>
              <w:rPr>
                <w:rFonts w:hint="eastAsia" w:ascii="宋体" w:hAnsi="宋体"/>
                <w:sz w:val="24"/>
                <w:szCs w:val="24"/>
                <w:lang w:eastAsia="zh-CN"/>
              </w:rPr>
              <w:t>吴梓曦</w:t>
            </w:r>
            <w:r>
              <w:rPr>
                <w:rFonts w:ascii="宋体" w:hAnsi="宋体"/>
                <w:sz w:val="24"/>
                <w:szCs w:val="24"/>
              </w:rPr>
              <w:t xml:space="preserve"> </w:t>
            </w:r>
          </w:p>
          <w:p>
            <w:pPr>
              <w:spacing w:line="440" w:lineRule="exact"/>
              <w:ind w:firstLine="480" w:firstLineChars="200"/>
              <w:rPr>
                <w:rFonts w:hint="default" w:ascii="宋体" w:hAnsi="宋体" w:eastAsia="宋体"/>
                <w:sz w:val="24"/>
                <w:szCs w:val="24"/>
                <w:lang w:val="en-US" w:eastAsia="zh-CN"/>
              </w:rPr>
            </w:pPr>
            <w:r>
              <w:rPr>
                <w:rFonts w:ascii="宋体" w:hAnsi="宋体"/>
                <w:sz w:val="24"/>
                <w:szCs w:val="24"/>
              </w:rPr>
              <w:t>联系电话：</w:t>
            </w:r>
            <w:r>
              <w:rPr>
                <w:rFonts w:hint="eastAsia" w:ascii="宋体" w:hAnsi="宋体"/>
                <w:sz w:val="24"/>
                <w:szCs w:val="24"/>
                <w:lang w:val="en-US" w:eastAsia="zh-CN"/>
              </w:rPr>
              <w:t>18302083034</w:t>
            </w:r>
          </w:p>
        </w:tc>
      </w:tr>
    </w:tbl>
    <w:p>
      <w:pPr>
        <w:spacing w:line="440" w:lineRule="exact"/>
        <w:ind w:firstLine="480" w:firstLineChars="200"/>
        <w:rPr>
          <w:rFonts w:hint="eastAsia" w:ascii="宋体" w:hAnsi="宋体"/>
          <w:sz w:val="24"/>
        </w:rPr>
      </w:pPr>
      <w:bookmarkStart w:id="40" w:name="EB9f8e13e0fbb3416ba356e7178c1c8070"/>
      <w:r>
        <w:rPr>
          <w:rFonts w:ascii="宋体" w:hAnsi="宋体"/>
          <w:sz w:val="24"/>
          <w:szCs w:val="24"/>
        </w:rPr>
        <w:t xml:space="preserve"> </w:t>
      </w:r>
      <w:bookmarkEnd w:id="40"/>
      <w:r>
        <w:rPr>
          <w:rFonts w:hint="eastAsia" w:ascii="宋体" w:hAnsi="宋体"/>
          <w:sz w:val="24"/>
          <w:szCs w:val="24"/>
        </w:rPr>
        <w:t xml:space="preserve"> </w:t>
      </w:r>
    </w:p>
    <w:p>
      <w:pPr>
        <w:spacing w:line="440" w:lineRule="exact"/>
        <w:ind w:left="700" w:right="1024"/>
        <w:jc w:val="right"/>
        <w:rPr>
          <w:rFonts w:hint="eastAsia" w:ascii="宋体" w:hAnsi="宋体"/>
          <w:bCs/>
          <w:sz w:val="24"/>
          <w:szCs w:val="24"/>
        </w:rPr>
      </w:pPr>
      <w:r>
        <w:rPr>
          <w:rFonts w:hint="eastAsia" w:ascii="宋体" w:hAnsi="宋体"/>
          <w:bCs/>
          <w:sz w:val="24"/>
          <w:szCs w:val="24"/>
        </w:rPr>
        <w:t>发布人：广州电缆厂有限公司</w:t>
      </w:r>
    </w:p>
    <w:p>
      <w:pPr>
        <w:wordWrap w:val="0"/>
        <w:spacing w:line="440" w:lineRule="exact"/>
        <w:ind w:left="700" w:right="1024"/>
        <w:jc w:val="right"/>
        <w:rPr>
          <w:rFonts w:hint="eastAsia" w:ascii="宋体" w:hAnsi="宋体"/>
          <w:bCs/>
          <w:sz w:val="24"/>
          <w:szCs w:val="24"/>
        </w:rPr>
      </w:pPr>
      <w:r>
        <w:rPr>
          <w:rFonts w:hint="eastAsia" w:ascii="宋体" w:hAnsi="宋体"/>
          <w:bCs/>
          <w:sz w:val="24"/>
          <w:szCs w:val="24"/>
        </w:rPr>
        <w:t>发布时间：</w:t>
      </w:r>
      <w:bookmarkStart w:id="41" w:name="EB2113b58e5e0e4fa3945af924d965ed07"/>
      <w:r>
        <w:rPr>
          <w:rFonts w:hint="eastAsia" w:ascii="宋体" w:hAnsi="宋体"/>
          <w:bCs/>
          <w:sz w:val="24"/>
          <w:szCs w:val="24"/>
        </w:rPr>
        <w:t>2021年</w:t>
      </w:r>
      <w:r>
        <w:rPr>
          <w:rFonts w:hint="eastAsia" w:ascii="宋体" w:hAnsi="宋体"/>
          <w:bCs/>
          <w:sz w:val="24"/>
          <w:szCs w:val="24"/>
          <w:lang w:val="en-US" w:eastAsia="zh-CN"/>
        </w:rPr>
        <w:t>10</w:t>
      </w:r>
      <w:r>
        <w:rPr>
          <w:rFonts w:hint="eastAsia" w:ascii="宋体" w:hAnsi="宋体"/>
          <w:bCs/>
          <w:sz w:val="24"/>
          <w:szCs w:val="24"/>
        </w:rPr>
        <w:t>月</w:t>
      </w:r>
      <w:r>
        <w:rPr>
          <w:rFonts w:hint="eastAsia" w:ascii="宋体" w:hAnsi="宋体"/>
          <w:bCs/>
          <w:sz w:val="24"/>
          <w:szCs w:val="24"/>
          <w:lang w:val="en-US" w:eastAsia="zh-CN"/>
        </w:rPr>
        <w:t>18</w:t>
      </w:r>
      <w:bookmarkStart w:id="351" w:name="_GoBack"/>
      <w:bookmarkEnd w:id="351"/>
      <w:r>
        <w:rPr>
          <w:rFonts w:hint="eastAsia" w:ascii="宋体" w:hAnsi="宋体"/>
          <w:bCs/>
          <w:sz w:val="24"/>
          <w:szCs w:val="24"/>
        </w:rPr>
        <w:t>日</w:t>
      </w:r>
      <w:bookmarkEnd w:id="41"/>
      <w:r>
        <w:rPr>
          <w:rFonts w:hint="eastAsia" w:ascii="宋体" w:hAnsi="宋体"/>
          <w:bCs/>
          <w:sz w:val="24"/>
          <w:szCs w:val="24"/>
        </w:rPr>
        <w:t xml:space="preserve"> </w:t>
      </w:r>
    </w:p>
    <w:p>
      <w:pPr>
        <w:rPr>
          <w:rFonts w:hint="eastAsia"/>
        </w:rPr>
      </w:pPr>
    </w:p>
    <w:p>
      <w:pPr>
        <w:pStyle w:val="3"/>
        <w:spacing w:before="200" w:after="200" w:line="360" w:lineRule="auto"/>
        <w:jc w:val="center"/>
        <w:rPr>
          <w:rFonts w:hint="eastAsia" w:ascii="宋体" w:hAnsi="宋体"/>
        </w:rPr>
      </w:pPr>
      <w:r>
        <w:rPr>
          <w:rFonts w:hint="eastAsia" w:ascii="宋体" w:hAnsi="宋体"/>
          <w:sz w:val="24"/>
          <w:szCs w:val="24"/>
        </w:rPr>
        <w:br w:type="page"/>
      </w:r>
      <w:bookmarkStart w:id="42" w:name="_Toc403491560"/>
      <w:bookmarkStart w:id="43" w:name="_Toc101775108"/>
      <w:bookmarkStart w:id="44" w:name="_Toc98579049"/>
      <w:bookmarkStart w:id="45" w:name="_Toc401575138"/>
      <w:bookmarkStart w:id="46" w:name="_Toc98580273"/>
      <w:bookmarkStart w:id="47" w:name="_Toc175644385"/>
      <w:bookmarkStart w:id="48" w:name="_Toc41723912"/>
      <w:bookmarkStart w:id="49" w:name="_Toc98578991"/>
      <w:bookmarkStart w:id="50" w:name="_Toc42313150"/>
      <w:bookmarkStart w:id="51" w:name="_Toc41884682"/>
      <w:bookmarkStart w:id="52" w:name="_Toc101951241"/>
      <w:bookmarkStart w:id="53" w:name="_Toc46308523"/>
      <w:bookmarkStart w:id="54" w:name="_Toc98579590"/>
      <w:bookmarkStart w:id="55" w:name="_Toc98035084"/>
      <w:bookmarkStart w:id="56" w:name="_Toc101771355"/>
      <w:bookmarkStart w:id="57" w:name="_Toc42394495"/>
      <w:bookmarkStart w:id="58" w:name="_Toc101843108"/>
      <w:bookmarkStart w:id="59" w:name="_Toc46308679"/>
      <w:bookmarkStart w:id="60" w:name="_Toc42394652"/>
      <w:r>
        <w:rPr>
          <w:rFonts w:hint="eastAsia" w:ascii="宋体" w:hAnsi="宋体"/>
          <w:sz w:val="30"/>
          <w:szCs w:val="30"/>
        </w:rPr>
        <w:t>第一章 投标人须知</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spacing w:line="360" w:lineRule="auto"/>
        <w:ind w:firstLine="480" w:firstLineChars="200"/>
        <w:rPr>
          <w:rFonts w:hint="eastAsia" w:ascii="宋体" w:hAnsi="宋体" w:cs="Arial"/>
          <w:sz w:val="24"/>
          <w:szCs w:val="24"/>
        </w:rPr>
      </w:pPr>
      <w:r>
        <w:rPr>
          <w:rFonts w:hint="eastAsia" w:ascii="宋体" w:hAnsi="宋体" w:cs="Arial"/>
          <w:sz w:val="24"/>
          <w:szCs w:val="24"/>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4"/>
        <w:ind w:firstLine="482" w:firstLineChars="200"/>
        <w:jc w:val="both"/>
        <w:rPr>
          <w:rFonts w:hint="eastAsia" w:hAnsi="宋体"/>
          <w:b/>
          <w:sz w:val="24"/>
          <w:szCs w:val="24"/>
        </w:rPr>
      </w:pPr>
      <w:bookmarkStart w:id="61" w:name="_Toc175644386"/>
      <w:bookmarkStart w:id="62" w:name="_Toc403491562"/>
      <w:bookmarkStart w:id="63" w:name="_Toc401575140"/>
      <w:r>
        <w:rPr>
          <w:rFonts w:hint="eastAsia" w:hAnsi="宋体"/>
          <w:b/>
          <w:sz w:val="24"/>
          <w:szCs w:val="24"/>
        </w:rPr>
        <w:t>一、</w:t>
      </w:r>
      <w:bookmarkStart w:id="64" w:name="_Toc390699896"/>
      <w:bookmarkStart w:id="65" w:name="_Toc403491561"/>
      <w:bookmarkStart w:id="66" w:name="_Toc401575139"/>
      <w:bookmarkStart w:id="67" w:name="_Toc136662913"/>
      <w:bookmarkStart w:id="68" w:name="_Toc136682889"/>
      <w:bookmarkStart w:id="69" w:name="_Toc324867172"/>
      <w:bookmarkStart w:id="70" w:name="_Toc119321124"/>
      <w:bookmarkStart w:id="71" w:name="_Toc273255343"/>
      <w:bookmarkStart w:id="72" w:name="_Toc159385048"/>
      <w:r>
        <w:rPr>
          <w:rFonts w:hint="eastAsia" w:hAnsi="宋体"/>
          <w:b/>
          <w:sz w:val="24"/>
          <w:szCs w:val="24"/>
        </w:rPr>
        <w:t>名词解释</w:t>
      </w:r>
      <w:bookmarkEnd w:id="64"/>
      <w:bookmarkEnd w:id="65"/>
      <w:bookmarkEnd w:id="66"/>
      <w:bookmarkEnd w:id="67"/>
      <w:bookmarkEnd w:id="68"/>
      <w:bookmarkEnd w:id="69"/>
      <w:bookmarkEnd w:id="70"/>
      <w:bookmarkEnd w:id="71"/>
      <w:bookmarkEnd w:id="72"/>
    </w:p>
    <w:p>
      <w:pPr>
        <w:pStyle w:val="6"/>
        <w:tabs>
          <w:tab w:val="left" w:pos="0"/>
        </w:tabs>
        <w:ind w:firstLine="480" w:firstLineChars="200"/>
        <w:rPr>
          <w:rFonts w:hint="eastAsia" w:hAnsi="宋体"/>
          <w:sz w:val="24"/>
          <w:szCs w:val="24"/>
        </w:rPr>
      </w:pPr>
      <w:r>
        <w:rPr>
          <w:rFonts w:hint="eastAsia" w:hAnsi="宋体"/>
          <w:sz w:val="24"/>
          <w:szCs w:val="24"/>
        </w:rPr>
        <w:t>（一）采购人：本项目是指广州电缆厂有限公司，是采购活动当事人之一，负责项目的整体规划、技术方案可行性设计论证与实施，作为合同采购方（用户）的主体承担质疑回复、履行合同、验收与评价等义务。</w:t>
      </w:r>
    </w:p>
    <w:p>
      <w:pPr>
        <w:pStyle w:val="6"/>
        <w:tabs>
          <w:tab w:val="left" w:pos="0"/>
        </w:tabs>
        <w:ind w:firstLine="480" w:firstLineChars="200"/>
        <w:rPr>
          <w:rFonts w:hint="eastAsia" w:hAnsi="宋体"/>
          <w:sz w:val="24"/>
          <w:szCs w:val="24"/>
        </w:rPr>
      </w:pPr>
      <w:r>
        <w:rPr>
          <w:rFonts w:hint="eastAsia" w:hAnsi="宋体"/>
          <w:sz w:val="24"/>
          <w:szCs w:val="24"/>
        </w:rPr>
        <w:t>（二）投标人：</w:t>
      </w:r>
      <w:r>
        <w:rPr>
          <w:rFonts w:hAnsi="宋体"/>
          <w:sz w:val="24"/>
          <w:szCs w:val="24"/>
        </w:rPr>
        <w:t>是指在提交投标文件的供应商</w:t>
      </w:r>
      <w:r>
        <w:rPr>
          <w:rFonts w:hint="eastAsia" w:hAnsi="宋体"/>
          <w:sz w:val="24"/>
          <w:szCs w:val="24"/>
        </w:rPr>
        <w:t>。</w:t>
      </w:r>
    </w:p>
    <w:p>
      <w:pPr>
        <w:pStyle w:val="6"/>
        <w:tabs>
          <w:tab w:val="left" w:pos="0"/>
        </w:tabs>
        <w:ind w:firstLine="480" w:firstLineChars="200"/>
        <w:rPr>
          <w:rFonts w:hint="eastAsia" w:hAnsi="宋体"/>
          <w:sz w:val="24"/>
          <w:szCs w:val="24"/>
        </w:rPr>
      </w:pPr>
      <w:r>
        <w:rPr>
          <w:rFonts w:hint="eastAsia" w:hAnsi="宋体"/>
          <w:sz w:val="24"/>
          <w:szCs w:val="24"/>
        </w:rPr>
        <w:t>（三）招标文件：是指包括招标公告和招标文件及其补充、变更和澄清等一系列文件。</w:t>
      </w:r>
    </w:p>
    <w:p>
      <w:pPr>
        <w:pStyle w:val="6"/>
        <w:tabs>
          <w:tab w:val="left" w:pos="0"/>
        </w:tabs>
        <w:ind w:firstLine="480" w:firstLineChars="200"/>
        <w:rPr>
          <w:rFonts w:hint="eastAsia" w:hAnsi="宋体"/>
          <w:sz w:val="24"/>
          <w:szCs w:val="24"/>
        </w:rPr>
      </w:pPr>
      <w:r>
        <w:rPr>
          <w:rFonts w:hint="eastAsia" w:hAnsi="宋体"/>
          <w:sz w:val="24"/>
          <w:szCs w:val="24"/>
        </w:rPr>
        <w:t>（四）日期、天数、时间：未有特别说明时，均为公历日（天）及北京时间。</w:t>
      </w:r>
    </w:p>
    <w:p>
      <w:pPr>
        <w:pStyle w:val="6"/>
        <w:ind w:firstLine="480" w:firstLineChars="200"/>
        <w:rPr>
          <w:rFonts w:hint="eastAsia" w:hAnsi="宋体"/>
          <w:sz w:val="24"/>
          <w:szCs w:val="24"/>
        </w:rPr>
      </w:pPr>
      <w:r>
        <w:rPr>
          <w:rFonts w:hint="eastAsia" w:hAnsi="宋体"/>
          <w:sz w:val="24"/>
          <w:szCs w:val="24"/>
        </w:rPr>
        <w:t>（五）采购信息发布网站：广州电缆厂有限公司网站（网址：http://www.gzdlc.com.cn/）</w:t>
      </w:r>
    </w:p>
    <w:p>
      <w:pPr>
        <w:pStyle w:val="4"/>
        <w:ind w:firstLine="482" w:firstLineChars="200"/>
        <w:jc w:val="both"/>
        <w:rPr>
          <w:rFonts w:hint="eastAsia" w:hAnsi="宋体"/>
          <w:b/>
          <w:sz w:val="24"/>
          <w:szCs w:val="24"/>
        </w:rPr>
      </w:pPr>
      <w:r>
        <w:rPr>
          <w:rFonts w:hint="eastAsia" w:hAnsi="宋体"/>
          <w:b/>
          <w:sz w:val="24"/>
          <w:szCs w:val="24"/>
        </w:rPr>
        <w:t>二、一般要求</w:t>
      </w:r>
      <w:bookmarkEnd w:id="61"/>
      <w:bookmarkEnd w:id="62"/>
      <w:bookmarkEnd w:id="63"/>
    </w:p>
    <w:p>
      <w:pPr>
        <w:pStyle w:val="6"/>
        <w:tabs>
          <w:tab w:val="clear" w:pos="851"/>
        </w:tabs>
        <w:ind w:firstLine="482" w:firstLineChars="200"/>
        <w:rPr>
          <w:rFonts w:hint="eastAsia" w:hAnsi="宋体"/>
          <w:b/>
          <w:sz w:val="24"/>
          <w:szCs w:val="24"/>
        </w:rPr>
      </w:pPr>
      <w:bookmarkStart w:id="73" w:name="_Toc101843112"/>
      <w:bookmarkStart w:id="74" w:name="_Toc42313155"/>
      <w:bookmarkStart w:id="75" w:name="_Toc101771359"/>
      <w:bookmarkStart w:id="76" w:name="_Toc42394500"/>
      <w:bookmarkStart w:id="77" w:name="_Toc101775112"/>
      <w:bookmarkStart w:id="78" w:name="_Toc98579053"/>
      <w:bookmarkStart w:id="79" w:name="_Toc98578995"/>
      <w:bookmarkStart w:id="80" w:name="_Toc42394657"/>
      <w:bookmarkStart w:id="81" w:name="_Toc134956119"/>
      <w:bookmarkStart w:id="82" w:name="_Toc41723917"/>
      <w:bookmarkStart w:id="83" w:name="_Toc101951245"/>
      <w:bookmarkStart w:id="84" w:name="_Toc41884687"/>
      <w:bookmarkStart w:id="85" w:name="_Toc50276141"/>
      <w:bookmarkStart w:id="86" w:name="_Toc98579594"/>
      <w:bookmarkStart w:id="87" w:name="_Toc98580277"/>
      <w:bookmarkStart w:id="88" w:name="_Toc101775113"/>
      <w:bookmarkStart w:id="89" w:name="_Toc101771360"/>
      <w:bookmarkStart w:id="90" w:name="_Toc98580279"/>
      <w:bookmarkStart w:id="91" w:name="_Toc101843113"/>
      <w:bookmarkStart w:id="92" w:name="_Toc134956120"/>
      <w:bookmarkStart w:id="93" w:name="_Toc98579596"/>
      <w:bookmarkStart w:id="94" w:name="_Toc98578997"/>
      <w:bookmarkStart w:id="95" w:name="_Toc42313157"/>
      <w:bookmarkStart w:id="96" w:name="_Toc42394502"/>
      <w:bookmarkStart w:id="97" w:name="_Toc42394659"/>
      <w:bookmarkStart w:id="98" w:name="_Toc98579055"/>
      <w:bookmarkStart w:id="99" w:name="_Toc50276143"/>
      <w:bookmarkStart w:id="100" w:name="_Toc101951246"/>
      <w:r>
        <w:rPr>
          <w:rFonts w:hint="eastAsia" w:hAnsi="宋体"/>
          <w:b/>
          <w:sz w:val="24"/>
          <w:szCs w:val="24"/>
        </w:rPr>
        <w:t>（一）投标的费用</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p>
      <w:pPr>
        <w:pStyle w:val="6"/>
        <w:tabs>
          <w:tab w:val="left" w:pos="0"/>
        </w:tabs>
        <w:ind w:firstLine="480" w:firstLineChars="200"/>
        <w:rPr>
          <w:rFonts w:hAnsi="宋体"/>
          <w:sz w:val="24"/>
          <w:szCs w:val="24"/>
        </w:rPr>
      </w:pPr>
      <w:r>
        <w:rPr>
          <w:rFonts w:hint="eastAsia" w:hAnsi="宋体"/>
          <w:sz w:val="24"/>
          <w:szCs w:val="24"/>
        </w:rPr>
        <w:t>不论投标的结果如何，投标人应承担所有与编写和提交投标文件有关的费用。</w:t>
      </w:r>
    </w:p>
    <w:p>
      <w:pPr>
        <w:pStyle w:val="6"/>
        <w:tabs>
          <w:tab w:val="clear" w:pos="851"/>
        </w:tabs>
        <w:ind w:firstLine="482" w:firstLineChars="200"/>
        <w:rPr>
          <w:rFonts w:hint="eastAsia" w:hAnsi="宋体"/>
          <w:b/>
          <w:sz w:val="24"/>
          <w:szCs w:val="24"/>
        </w:rPr>
      </w:pPr>
      <w:r>
        <w:rPr>
          <w:rFonts w:hint="eastAsia" w:hAnsi="宋体"/>
          <w:b/>
          <w:sz w:val="24"/>
          <w:szCs w:val="24"/>
        </w:rPr>
        <w:t>（二）招标文件的澄清和修改</w:t>
      </w:r>
      <w:bookmarkEnd w:id="88"/>
      <w:bookmarkEnd w:id="89"/>
      <w:bookmarkEnd w:id="90"/>
      <w:bookmarkEnd w:id="91"/>
      <w:bookmarkEnd w:id="92"/>
      <w:bookmarkEnd w:id="93"/>
      <w:bookmarkEnd w:id="94"/>
      <w:bookmarkEnd w:id="95"/>
      <w:bookmarkEnd w:id="96"/>
      <w:bookmarkEnd w:id="97"/>
      <w:bookmarkEnd w:id="98"/>
      <w:bookmarkEnd w:id="99"/>
      <w:bookmarkEnd w:id="100"/>
    </w:p>
    <w:p>
      <w:pPr>
        <w:pStyle w:val="6"/>
        <w:ind w:firstLine="480" w:firstLineChars="200"/>
        <w:rPr>
          <w:rFonts w:hint="eastAsia" w:hAnsi="宋体"/>
          <w:sz w:val="24"/>
          <w:szCs w:val="24"/>
        </w:rPr>
      </w:pPr>
      <w:r>
        <w:rPr>
          <w:rFonts w:hAnsi="宋体"/>
          <w:sz w:val="24"/>
          <w:szCs w:val="24"/>
        </w:rPr>
        <w:t>投标人在规定的时间内未对招标文件提出疑问、质疑或要求澄清的，将视其为无异议。对招标文件中描述有歧义或前后不一致的地方，评标委员会有权进行评判，但对同一条款的评判应适用于每个投标人</w:t>
      </w:r>
      <w:r>
        <w:rPr>
          <w:rFonts w:hint="eastAsia" w:hAnsi="宋体"/>
          <w:sz w:val="24"/>
          <w:szCs w:val="24"/>
        </w:rPr>
        <w:t>。</w:t>
      </w:r>
      <w:bookmarkStart w:id="101" w:name="_Toc134956123"/>
      <w:bookmarkStart w:id="102" w:name="_Toc101951248"/>
      <w:bookmarkStart w:id="103" w:name="_Toc101843115"/>
      <w:bookmarkStart w:id="104" w:name="_Toc101771362"/>
      <w:bookmarkStart w:id="105" w:name="_Toc101775115"/>
    </w:p>
    <w:p>
      <w:pPr>
        <w:pStyle w:val="6"/>
        <w:ind w:firstLine="482" w:firstLineChars="200"/>
        <w:rPr>
          <w:rFonts w:hint="eastAsia" w:hAnsi="宋体"/>
          <w:b/>
          <w:sz w:val="24"/>
          <w:szCs w:val="24"/>
        </w:rPr>
      </w:pPr>
      <w:r>
        <w:rPr>
          <w:rFonts w:hint="eastAsia" w:hAnsi="宋体"/>
          <w:b/>
          <w:sz w:val="24"/>
          <w:szCs w:val="24"/>
        </w:rPr>
        <w:t>（三）关于分支机构投标</w:t>
      </w:r>
    </w:p>
    <w:p>
      <w:pPr>
        <w:pStyle w:val="5"/>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 </w:t>
      </w:r>
      <w:bookmarkStart w:id="106" w:name="EB389f116341dd4693875bc7987e7327f3"/>
      <w:r>
        <w:rPr>
          <w:rFonts w:ascii="宋体" w:hAnsi="宋体"/>
          <w:bCs/>
          <w:sz w:val="24"/>
          <w:szCs w:val="24"/>
        </w:rPr>
        <w:t>分支机构投标的，须提供分支机构的营业执照（执业许可证）扫描件。</w:t>
      </w:r>
      <w:bookmarkEnd w:id="106"/>
    </w:p>
    <w:p>
      <w:pPr>
        <w:pStyle w:val="6"/>
        <w:tabs>
          <w:tab w:val="clear" w:pos="851"/>
        </w:tabs>
        <w:ind w:firstLine="482" w:firstLineChars="200"/>
        <w:rPr>
          <w:rFonts w:hint="eastAsia" w:hAnsi="宋体"/>
          <w:b/>
          <w:sz w:val="24"/>
          <w:szCs w:val="24"/>
        </w:rPr>
      </w:pPr>
      <w:r>
        <w:rPr>
          <w:rFonts w:hint="eastAsia" w:hAnsi="宋体"/>
          <w:b/>
          <w:sz w:val="24"/>
          <w:szCs w:val="24"/>
        </w:rPr>
        <w:t>（四）关于联合体投标</w:t>
      </w:r>
      <w:bookmarkEnd w:id="101"/>
    </w:p>
    <w:p>
      <w:pPr>
        <w:pStyle w:val="6"/>
        <w:tabs>
          <w:tab w:val="clear" w:pos="851"/>
        </w:tabs>
        <w:ind w:firstLine="480" w:firstLineChars="200"/>
        <w:rPr>
          <w:rFonts w:hint="eastAsia" w:hAnsi="宋体"/>
          <w:bCs/>
          <w:sz w:val="24"/>
          <w:szCs w:val="24"/>
        </w:rPr>
      </w:pPr>
      <w:r>
        <w:rPr>
          <w:rFonts w:hint="eastAsia" w:hAnsi="宋体"/>
          <w:bCs/>
          <w:sz w:val="24"/>
          <w:szCs w:val="24"/>
        </w:rPr>
        <w:t xml:space="preserve"> 本项目不接受联合体投标。</w:t>
      </w:r>
    </w:p>
    <w:p>
      <w:pPr>
        <w:pStyle w:val="5"/>
        <w:spacing w:line="360" w:lineRule="auto"/>
        <w:ind w:firstLine="400" w:firstLineChars="200"/>
        <w:rPr>
          <w:rFonts w:hint="eastAsia" w:hAnsi="宋体"/>
          <w:b/>
          <w:bCs/>
          <w:sz w:val="24"/>
          <w:szCs w:val="24"/>
        </w:rPr>
      </w:pPr>
      <w:bookmarkStart w:id="107" w:name="EBe66619f1fa144ce6b418e4d44ab26af0"/>
      <w:r>
        <w:rPr>
          <w:rFonts w:hAnsi="宋体"/>
          <w:bCs/>
          <w:sz w:val="20"/>
          <w:szCs w:val="24"/>
        </w:rPr>
        <w:t xml:space="preserve"> </w:t>
      </w:r>
      <w:bookmarkEnd w:id="107"/>
      <w:r>
        <w:rPr>
          <w:rFonts w:hint="eastAsia" w:hAnsi="宋体"/>
          <w:b/>
          <w:sz w:val="24"/>
          <w:szCs w:val="24"/>
        </w:rPr>
        <w:t>（五）关于关联企业</w:t>
      </w:r>
    </w:p>
    <w:p>
      <w:pPr>
        <w:pStyle w:val="5"/>
        <w:tabs>
          <w:tab w:val="left" w:pos="540"/>
        </w:tabs>
        <w:spacing w:line="360" w:lineRule="auto"/>
        <w:ind w:firstLine="480" w:firstLineChars="200"/>
        <w:rPr>
          <w:rFonts w:hint="eastAsia" w:ascii="宋体" w:hAnsi="宋体"/>
          <w:sz w:val="24"/>
        </w:rPr>
      </w:pPr>
      <w:bookmarkStart w:id="108" w:name="EB137940eb581a4d6f94e5abc58baa406e"/>
      <w:bookmarkEnd w:id="108"/>
      <w:bookmarkStart w:id="109" w:name="_Toc127930780"/>
      <w:bookmarkStart w:id="110" w:name="_Toc134955409"/>
      <w:r>
        <w:rPr>
          <w:rFonts w:hint="eastAsia" w:ascii="宋体" w:hAnsi="宋体"/>
          <w:sz w:val="24"/>
        </w:rPr>
        <w:t>法定代表人或单位负责人为同一个人或者存在直接控股、管理关系的不同供应商，不得同时参加同一项目或</w:t>
      </w:r>
      <w:r>
        <w:rPr>
          <w:rFonts w:hint="eastAsia" w:ascii="宋体" w:hAnsi="宋体"/>
          <w:sz w:val="24"/>
          <w:szCs w:val="24"/>
        </w:rPr>
        <w:t>同一子项目</w:t>
      </w:r>
      <w:r>
        <w:rPr>
          <w:rFonts w:hint="eastAsia" w:ascii="宋体" w:hAnsi="宋体"/>
          <w:sz w:val="24"/>
        </w:rPr>
        <w:t>的投标。如同时参加，则评审时将同时被拒绝。</w:t>
      </w:r>
      <w:bookmarkEnd w:id="109"/>
      <w:bookmarkEnd w:id="110"/>
    </w:p>
    <w:p>
      <w:pPr>
        <w:pStyle w:val="6"/>
        <w:tabs>
          <w:tab w:val="clear" w:pos="851"/>
        </w:tabs>
        <w:ind w:firstLine="482" w:firstLineChars="200"/>
        <w:rPr>
          <w:rFonts w:hint="eastAsia" w:hAnsi="宋体"/>
          <w:b/>
          <w:sz w:val="24"/>
          <w:szCs w:val="24"/>
        </w:rPr>
      </w:pPr>
      <w:r>
        <w:rPr>
          <w:rFonts w:hint="eastAsia" w:hAnsi="宋体"/>
          <w:b/>
          <w:sz w:val="24"/>
          <w:szCs w:val="24"/>
        </w:rPr>
        <w:t>（六）知识产权</w:t>
      </w:r>
    </w:p>
    <w:p>
      <w:pPr>
        <w:pStyle w:val="6"/>
        <w:numPr>
          <w:ilvl w:val="2"/>
          <w:numId w:val="2"/>
        </w:numPr>
        <w:tabs>
          <w:tab w:val="clear" w:pos="840"/>
        </w:tabs>
        <w:ind w:left="0" w:firstLine="480" w:firstLineChars="200"/>
        <w:rPr>
          <w:rFonts w:hint="eastAsia" w:hAnsi="宋体"/>
          <w:sz w:val="24"/>
          <w:szCs w:val="24"/>
          <w:lang w:val="en-GB"/>
        </w:rPr>
      </w:pPr>
      <w:r>
        <w:rPr>
          <w:rFonts w:hint="eastAsia" w:hAnsi="宋体"/>
          <w:sz w:val="24"/>
          <w:szCs w:val="24"/>
        </w:rPr>
        <w:t>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投标报价应包含所有应向所有权人支付的专利权、商标权或其它知识产权的一切相关费用。</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系统软件、通用软件必须是具有在中国境内的合法使用权或版权的正版软件，涉及到第三方提出侵权或知识产权的起诉及支付版税等费用由投标人承担所有责任及费用。</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中标人需对所有成果、产品的知识产权负有瑕疵担保责任，因使用未被授权使用的技术、组件、系统软件、通用软件等知识产权问题引起的纠纷所产生的所有责任及费用由中标人自行承担。</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本项目研究成果及其技术文档等所有权由采购人享有，技术文档资料包括完备的系统设计文档、功能模块说明、程序源代码、执行代码、使用手册等，采购人对本项目的所有成果具有所有权。项目所交付的应用系统软件环境包括生产环境（正式环境）、测试环境、开发环境，所有环境均要求能正常使用，未经采购人许可，中标人不得将相关采购人资料提供给第三方。</w:t>
      </w:r>
    </w:p>
    <w:p>
      <w:pPr>
        <w:pStyle w:val="6"/>
        <w:tabs>
          <w:tab w:val="clear" w:pos="851"/>
        </w:tabs>
        <w:ind w:firstLine="482" w:firstLineChars="200"/>
        <w:rPr>
          <w:rFonts w:hint="eastAsia" w:hAnsi="宋体"/>
          <w:b/>
          <w:bCs/>
          <w:sz w:val="24"/>
          <w:szCs w:val="24"/>
        </w:rPr>
      </w:pPr>
      <w:r>
        <w:rPr>
          <w:rFonts w:hint="eastAsia" w:hAnsi="宋体"/>
          <w:b/>
          <w:sz w:val="24"/>
          <w:szCs w:val="24"/>
        </w:rPr>
        <w:t>（七）纪律与保密事项</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投标人不得相互串通投标报价，不得妨碍其他投标人的公平竞争，不得损害采购人或其他投标人的合法权益，投标人不得以向采购人、评标委员会成员行贿或者采取其他不正当手段谋取中标。</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在确定中标人之前，投标人不得与采购人就投标价格、投标方案等实质性内容进行谈判，也不得私下接触评标委员会成员。</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在确定中标人之前，投标人试图在投标文件审查、澄清、比较和评价时对评标委员会、采购人和交易中心施加任何影响都可能导致其投标无效。</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获得本招标文件者，不得将招标文件用作本次投标以外的任何用途。若有要求，开标后，投标人应归还招标文件中的保密文件和资料。</w:t>
      </w:r>
    </w:p>
    <w:p>
      <w:pPr>
        <w:pStyle w:val="6"/>
        <w:numPr>
          <w:ilvl w:val="2"/>
          <w:numId w:val="2"/>
        </w:numPr>
        <w:tabs>
          <w:tab w:val="clear" w:pos="840"/>
        </w:tabs>
        <w:ind w:left="0" w:firstLine="480" w:firstLineChars="200"/>
        <w:rPr>
          <w:rFonts w:hint="eastAsia" w:hAnsi="宋体"/>
          <w:sz w:val="24"/>
          <w:szCs w:val="24"/>
        </w:rPr>
      </w:pPr>
      <w:r>
        <w:rPr>
          <w:rFonts w:hint="eastAsia" w:hAnsi="宋体"/>
          <w:sz w:val="24"/>
          <w:szCs w:val="24"/>
        </w:rPr>
        <w:t>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4"/>
        <w:ind w:firstLine="482" w:firstLineChars="200"/>
        <w:jc w:val="both"/>
        <w:rPr>
          <w:rFonts w:hint="eastAsia" w:hAnsi="宋体"/>
          <w:b/>
          <w:sz w:val="24"/>
          <w:szCs w:val="24"/>
        </w:rPr>
      </w:pPr>
      <w:r>
        <w:rPr>
          <w:rFonts w:hint="eastAsia" w:hAnsi="宋体"/>
          <w:b/>
          <w:sz w:val="24"/>
          <w:szCs w:val="24"/>
        </w:rPr>
        <w:t>三、质疑</w:t>
      </w:r>
    </w:p>
    <w:p>
      <w:pPr>
        <w:pStyle w:val="6"/>
        <w:tabs>
          <w:tab w:val="left" w:pos="420"/>
        </w:tabs>
        <w:ind w:firstLine="480" w:firstLineChars="200"/>
        <w:rPr>
          <w:rFonts w:hAnsi="宋体"/>
          <w:sz w:val="24"/>
          <w:szCs w:val="24"/>
        </w:rPr>
      </w:pPr>
      <w:bookmarkStart w:id="111" w:name="_Toc134955411"/>
      <w:r>
        <w:rPr>
          <w:rFonts w:hint="eastAsia" w:hAnsi="宋体"/>
          <w:sz w:val="24"/>
          <w:szCs w:val="24"/>
        </w:rPr>
        <w:t>（一）供应商认为招标文件、采购过程和中标结果使自己的权益受到损害的，可以在知道或者应知其权益受到损害之日起七个工作日内，以书面原件形式向采购人</w:t>
      </w:r>
      <w:r>
        <w:rPr>
          <w:rFonts w:hint="eastAsia"/>
          <w:sz w:val="24"/>
          <w:szCs w:val="24"/>
        </w:rPr>
        <w:t>一次性提出针对同一采购程序环节的质疑</w:t>
      </w:r>
      <w:r>
        <w:rPr>
          <w:rFonts w:hint="eastAsia" w:hAnsi="宋体"/>
          <w:sz w:val="24"/>
          <w:szCs w:val="24"/>
        </w:rPr>
        <w:t>，逾期质疑无效。供应商应知其权益受到损害之日是指：</w:t>
      </w:r>
    </w:p>
    <w:p>
      <w:pPr>
        <w:pStyle w:val="5"/>
        <w:widowControl/>
        <w:numPr>
          <w:ilvl w:val="0"/>
          <w:numId w:val="3"/>
        </w:numPr>
        <w:spacing w:line="360" w:lineRule="auto"/>
        <w:ind w:left="0" w:firstLine="480" w:firstLineChars="200"/>
        <w:rPr>
          <w:rFonts w:hint="eastAsia" w:ascii="宋体" w:hAnsi="宋体" w:cs="宋体"/>
          <w:sz w:val="24"/>
          <w:szCs w:val="24"/>
        </w:rPr>
      </w:pPr>
      <w:r>
        <w:rPr>
          <w:rFonts w:hint="eastAsia" w:ascii="宋体" w:hAnsi="宋体" w:cs="宋体"/>
          <w:sz w:val="24"/>
          <w:szCs w:val="24"/>
        </w:rPr>
        <w:t>对招标文件提出质疑的，为获取招标文件之日或者招标文件公告期限届满之日；</w:t>
      </w:r>
    </w:p>
    <w:p>
      <w:pPr>
        <w:pStyle w:val="5"/>
        <w:widowControl/>
        <w:numPr>
          <w:ilvl w:val="0"/>
          <w:numId w:val="3"/>
        </w:numPr>
        <w:spacing w:line="360" w:lineRule="auto"/>
        <w:ind w:left="0" w:firstLine="480" w:firstLineChars="200"/>
        <w:rPr>
          <w:rFonts w:hint="eastAsia" w:ascii="宋体" w:hAnsi="宋体" w:cs="宋体"/>
          <w:sz w:val="24"/>
          <w:szCs w:val="24"/>
        </w:rPr>
      </w:pPr>
      <w:r>
        <w:rPr>
          <w:rFonts w:hint="eastAsia" w:ascii="宋体" w:hAnsi="宋体" w:cs="宋体"/>
          <w:sz w:val="24"/>
          <w:szCs w:val="24"/>
        </w:rPr>
        <w:t>对采购过程提出质疑的，为各采购程序环节结束之日；</w:t>
      </w:r>
    </w:p>
    <w:p>
      <w:pPr>
        <w:pStyle w:val="5"/>
        <w:widowControl/>
        <w:numPr>
          <w:ilvl w:val="0"/>
          <w:numId w:val="3"/>
        </w:numPr>
        <w:spacing w:line="360" w:lineRule="auto"/>
        <w:ind w:left="0" w:firstLine="480" w:firstLineChars="200"/>
        <w:rPr>
          <w:rFonts w:hint="eastAsia" w:ascii="宋体" w:hAnsi="宋体" w:cs="宋体"/>
          <w:sz w:val="24"/>
          <w:szCs w:val="24"/>
        </w:rPr>
      </w:pPr>
      <w:r>
        <w:rPr>
          <w:rFonts w:hint="eastAsia" w:ascii="宋体" w:hAnsi="宋体" w:cs="宋体"/>
          <w:sz w:val="24"/>
          <w:szCs w:val="24"/>
        </w:rPr>
        <w:t>对中标结果提出质疑的，为中标结果公示期限届满之日。</w:t>
      </w:r>
    </w:p>
    <w:bookmarkEnd w:id="111"/>
    <w:p>
      <w:pPr>
        <w:pStyle w:val="6"/>
        <w:tabs>
          <w:tab w:val="left" w:pos="420"/>
        </w:tabs>
        <w:ind w:firstLine="480" w:firstLineChars="200"/>
        <w:rPr>
          <w:rFonts w:hint="eastAsia" w:hAnsi="宋体"/>
          <w:sz w:val="24"/>
          <w:szCs w:val="24"/>
        </w:rPr>
      </w:pPr>
      <w:r>
        <w:rPr>
          <w:rFonts w:hint="eastAsia" w:hAnsi="宋体"/>
          <w:sz w:val="24"/>
          <w:szCs w:val="24"/>
        </w:rPr>
        <w:t>（二）质疑函应当包括下列主要内容：</w:t>
      </w:r>
    </w:p>
    <w:p>
      <w:pPr>
        <w:pStyle w:val="5"/>
        <w:widowControl/>
        <w:numPr>
          <w:ilvl w:val="0"/>
          <w:numId w:val="4"/>
        </w:numPr>
        <w:spacing w:line="360" w:lineRule="auto"/>
        <w:ind w:left="0" w:firstLine="480" w:firstLineChars="200"/>
        <w:rPr>
          <w:rFonts w:hint="eastAsia" w:ascii="宋体" w:hAnsi="宋体" w:cs="宋体"/>
          <w:sz w:val="24"/>
          <w:szCs w:val="24"/>
        </w:rPr>
      </w:pPr>
      <w:r>
        <w:rPr>
          <w:rFonts w:hint="eastAsia" w:ascii="宋体" w:hAnsi="宋体" w:cs="宋体"/>
          <w:sz w:val="24"/>
          <w:szCs w:val="24"/>
        </w:rPr>
        <w:t>质疑供应商和相关供应商的名称、地址、邮编、联系人及联系电话等；</w:t>
      </w:r>
    </w:p>
    <w:p>
      <w:pPr>
        <w:pStyle w:val="5"/>
        <w:widowControl/>
        <w:numPr>
          <w:ilvl w:val="0"/>
          <w:numId w:val="4"/>
        </w:numPr>
        <w:spacing w:line="360" w:lineRule="auto"/>
        <w:ind w:left="0" w:firstLine="480" w:firstLineChars="200"/>
        <w:rPr>
          <w:rFonts w:hint="eastAsia" w:ascii="宋体" w:hAnsi="宋体" w:cs="宋体"/>
          <w:sz w:val="24"/>
          <w:szCs w:val="24"/>
        </w:rPr>
      </w:pPr>
      <w:r>
        <w:rPr>
          <w:rFonts w:hint="eastAsia" w:ascii="宋体" w:hAnsi="宋体" w:cs="宋体"/>
          <w:sz w:val="24"/>
          <w:szCs w:val="24"/>
        </w:rPr>
        <w:t>质疑项目名称及编号、具体、明确的质疑事项和与质疑事项相关的请求；</w:t>
      </w:r>
    </w:p>
    <w:p>
      <w:pPr>
        <w:pStyle w:val="5"/>
        <w:widowControl/>
        <w:numPr>
          <w:ilvl w:val="0"/>
          <w:numId w:val="4"/>
        </w:numPr>
        <w:spacing w:line="360" w:lineRule="auto"/>
        <w:ind w:left="0" w:firstLine="480" w:firstLineChars="200"/>
        <w:rPr>
          <w:rFonts w:hint="eastAsia" w:ascii="宋体" w:hAnsi="宋体" w:cs="宋体"/>
          <w:sz w:val="24"/>
          <w:szCs w:val="24"/>
        </w:rPr>
      </w:pPr>
      <w:r>
        <w:rPr>
          <w:rFonts w:hint="eastAsia" w:ascii="宋体" w:hAnsi="宋体" w:cs="宋体"/>
          <w:sz w:val="24"/>
          <w:szCs w:val="24"/>
        </w:rPr>
        <w:t>认为采购文件、采购过程、中标和成交结果使自己的合法权益受到损害的法律依据、事实依据、相关证明材料及证据来源；</w:t>
      </w:r>
    </w:p>
    <w:p>
      <w:pPr>
        <w:pStyle w:val="5"/>
        <w:widowControl/>
        <w:numPr>
          <w:ilvl w:val="0"/>
          <w:numId w:val="4"/>
        </w:numPr>
        <w:spacing w:line="360" w:lineRule="auto"/>
        <w:ind w:left="0" w:firstLine="480" w:firstLineChars="200"/>
        <w:rPr>
          <w:rFonts w:hint="eastAsia" w:ascii="宋体" w:hAnsi="宋体" w:cs="宋体"/>
          <w:sz w:val="24"/>
          <w:szCs w:val="24"/>
        </w:rPr>
      </w:pPr>
      <w:r>
        <w:rPr>
          <w:rFonts w:hint="eastAsia" w:ascii="宋体" w:hAnsi="宋体" w:cs="宋体"/>
          <w:sz w:val="24"/>
          <w:szCs w:val="24"/>
        </w:rPr>
        <w:t>提出质疑的日期。</w:t>
      </w:r>
    </w:p>
    <w:bookmarkEnd w:id="102"/>
    <w:bookmarkEnd w:id="103"/>
    <w:bookmarkEnd w:id="104"/>
    <w:bookmarkEnd w:id="105"/>
    <w:p>
      <w:pPr>
        <w:pStyle w:val="6"/>
        <w:tabs>
          <w:tab w:val="left" w:pos="420"/>
        </w:tabs>
        <w:ind w:firstLine="480" w:firstLineChars="200"/>
        <w:rPr>
          <w:rFonts w:hAnsi="宋体"/>
          <w:sz w:val="24"/>
          <w:szCs w:val="24"/>
        </w:rPr>
      </w:pPr>
      <w:bookmarkStart w:id="112" w:name="_Toc50276193"/>
      <w:bookmarkStart w:id="113" w:name="_Toc50276145"/>
      <w:bookmarkStart w:id="114" w:name="_Toc101771363"/>
      <w:bookmarkStart w:id="115" w:name="_Toc175644387"/>
      <w:bookmarkStart w:id="116" w:name="_Toc41723923"/>
      <w:bookmarkStart w:id="117" w:name="_Toc41884693"/>
      <w:bookmarkStart w:id="118" w:name="_Toc101951249"/>
      <w:bookmarkStart w:id="119" w:name="_Toc98035086"/>
      <w:bookmarkStart w:id="120" w:name="_Toc46308525"/>
      <w:bookmarkStart w:id="121" w:name="_Toc42394504"/>
      <w:bookmarkStart w:id="122" w:name="_Toc98579598"/>
      <w:bookmarkStart w:id="123" w:name="_Toc42394661"/>
      <w:bookmarkStart w:id="124" w:name="_Toc46308681"/>
      <w:bookmarkStart w:id="125" w:name="_Toc98578999"/>
      <w:bookmarkStart w:id="126" w:name="_Toc98579057"/>
      <w:bookmarkStart w:id="127" w:name="_Toc42313159"/>
      <w:bookmarkStart w:id="128" w:name="_Toc101775116"/>
      <w:bookmarkStart w:id="129" w:name="_Toc101843116"/>
      <w:bookmarkStart w:id="130" w:name="_Toc98580281"/>
      <w:bookmarkStart w:id="131" w:name="_Toc401575142"/>
      <w:bookmarkStart w:id="132" w:name="_Toc403491564"/>
      <w:r>
        <w:rPr>
          <w:rFonts w:hint="eastAsia" w:hAnsi="宋体"/>
          <w:sz w:val="24"/>
          <w:szCs w:val="24"/>
        </w:rPr>
        <w:t>（三）质疑函应当署名。质疑供应商为自然人的，应当由本人签字；质疑供应商为法人或者其他组织的，</w:t>
      </w:r>
      <w:r>
        <w:rPr>
          <w:rFonts w:hint="eastAsia"/>
          <w:sz w:val="24"/>
          <w:szCs w:val="24"/>
        </w:rPr>
        <w:t>应当由法定代表人、主要负责人，或者其授权代表签字或者盖章，并加盖公章</w:t>
      </w:r>
      <w:r>
        <w:rPr>
          <w:rFonts w:hint="eastAsia" w:hAnsi="宋体"/>
          <w:sz w:val="24"/>
          <w:szCs w:val="24"/>
        </w:rPr>
        <w:t>。</w:t>
      </w:r>
      <w:bookmarkStart w:id="133" w:name="EB69ea03e11cae48dba4ebbe3a62419b92"/>
      <w:r>
        <w:rPr>
          <w:rFonts w:hAnsi="宋体"/>
          <w:sz w:val="20"/>
          <w:szCs w:val="24"/>
        </w:rPr>
        <w:t xml:space="preserve"> </w:t>
      </w:r>
      <w:bookmarkEnd w:id="133"/>
    </w:p>
    <w:p>
      <w:pPr>
        <w:spacing w:line="360" w:lineRule="auto"/>
        <w:ind w:firstLine="420" w:firstLineChars="200"/>
        <w:rPr>
          <w:rFonts w:hint="eastAsia"/>
        </w:rPr>
      </w:pPr>
      <w:bookmarkStart w:id="134" w:name="EBb6d30e0b911d4f9e9a662c441531643c"/>
      <w:r>
        <w:rPr>
          <w:rFonts w:ascii="宋体" w:hAnsi="宋体"/>
        </w:rPr>
        <w:t xml:space="preserve"> </w:t>
      </w:r>
      <w:bookmarkEnd w:id="134"/>
      <w:r>
        <w:rPr>
          <w:rFonts w:hint="eastAsia" w:hAnsi="宋体"/>
          <w:sz w:val="24"/>
          <w:szCs w:val="24"/>
        </w:rPr>
        <w:t>（四）供应商质疑应当有明确的请求和必要的证明材料。质疑内容不得含有虚假、恶意成份。依照谁主张谁举证的原则，提出质疑者必须同时提交相关确凿的证据材料和注明证据的确切来源，证据来源必须合法，采购人有权将质疑函转发质疑事项各关联方，请其作出解释说明。对捏造事实、滥用维权扰乱采购秩序的恶意质疑者，一经核实，取消其投标资格，并禁止参加采购人日后的任何招标项目。</w:t>
      </w:r>
    </w:p>
    <w:p>
      <w:pPr>
        <w:pStyle w:val="6"/>
        <w:tabs>
          <w:tab w:val="left" w:pos="420"/>
        </w:tabs>
        <w:ind w:firstLine="480" w:firstLineChars="200"/>
        <w:rPr>
          <w:rFonts w:hint="eastAsia" w:hAnsi="宋体"/>
          <w:sz w:val="24"/>
          <w:szCs w:val="24"/>
        </w:rPr>
      </w:pPr>
      <w:r>
        <w:rPr>
          <w:rFonts w:hint="eastAsia" w:hAnsi="宋体"/>
          <w:sz w:val="24"/>
          <w:szCs w:val="24"/>
        </w:rPr>
        <w:t>（五）质疑供应商对采购人的质疑答复不满意，或者采购人未在规定期限内作出答复</w:t>
      </w:r>
    </w:p>
    <w:p>
      <w:pPr>
        <w:pStyle w:val="6"/>
        <w:tabs>
          <w:tab w:val="left" w:pos="420"/>
        </w:tabs>
        <w:rPr>
          <w:rFonts w:hint="eastAsia" w:hAnsi="宋体"/>
          <w:sz w:val="24"/>
          <w:szCs w:val="24"/>
        </w:rPr>
      </w:pPr>
      <w:r>
        <w:rPr>
          <w:rFonts w:hint="eastAsia" w:hAnsi="宋体"/>
          <w:sz w:val="24"/>
          <w:szCs w:val="24"/>
        </w:rPr>
        <w:t>的，可以在答复期满后15个工作日内向采购人的纪委办公室或上级主管单位提出投诉。</w:t>
      </w:r>
    </w:p>
    <w:p>
      <w:pPr>
        <w:pStyle w:val="6"/>
        <w:tabs>
          <w:tab w:val="left" w:pos="420"/>
        </w:tabs>
        <w:ind w:firstLine="480" w:firstLineChars="200"/>
        <w:rPr>
          <w:rFonts w:hAnsi="宋体"/>
          <w:sz w:val="24"/>
          <w:szCs w:val="24"/>
        </w:rPr>
      </w:pPr>
      <w:r>
        <w:rPr>
          <w:rFonts w:hint="eastAsia" w:hAnsi="宋体"/>
          <w:sz w:val="24"/>
          <w:szCs w:val="24"/>
        </w:rPr>
        <w:t>（六）</w:t>
      </w:r>
      <w:r>
        <w:rPr>
          <w:rFonts w:hAnsi="宋体"/>
          <w:sz w:val="24"/>
          <w:szCs w:val="24"/>
        </w:rPr>
        <w:t>质疑受理部门：</w:t>
      </w:r>
      <w:r>
        <w:rPr>
          <w:rFonts w:hint="eastAsia" w:hAnsi="宋体"/>
          <w:sz w:val="24"/>
          <w:szCs w:val="24"/>
        </w:rPr>
        <w:t>纪委办公室</w:t>
      </w:r>
      <w:r>
        <w:rPr>
          <w:rFonts w:hAnsi="宋体"/>
          <w:sz w:val="24"/>
          <w:szCs w:val="24"/>
        </w:rPr>
        <w:t>。</w:t>
      </w:r>
    </w:p>
    <w:p>
      <w:pPr>
        <w:pStyle w:val="6"/>
        <w:tabs>
          <w:tab w:val="left" w:pos="420"/>
        </w:tabs>
        <w:ind w:firstLine="480" w:firstLineChars="200"/>
        <w:rPr>
          <w:rFonts w:hint="eastAsia" w:hAnsi="宋体"/>
          <w:sz w:val="24"/>
          <w:szCs w:val="24"/>
        </w:rPr>
      </w:pPr>
      <w:r>
        <w:rPr>
          <w:rFonts w:hint="eastAsia" w:hAnsi="宋体"/>
          <w:sz w:val="24"/>
          <w:szCs w:val="24"/>
        </w:rPr>
        <w:t>（七）提交质疑函地点：广州电缆厂有限公司纪委办公室。</w:t>
      </w:r>
    </w:p>
    <w:p>
      <w:pPr>
        <w:pStyle w:val="6"/>
        <w:tabs>
          <w:tab w:val="left" w:pos="420"/>
        </w:tabs>
        <w:ind w:firstLine="480" w:firstLineChars="200"/>
        <w:rPr>
          <w:rFonts w:hint="eastAsia" w:hAnsi="宋体"/>
        </w:rPr>
      </w:pPr>
      <w:r>
        <w:rPr>
          <w:rFonts w:hint="eastAsia" w:hAnsi="宋体"/>
          <w:sz w:val="24"/>
          <w:szCs w:val="24"/>
        </w:rPr>
        <w:t>（八）本次采购活动中，采购人作出的质疑答复等文件的送达方式为现场取件或邮</w:t>
      </w:r>
    </w:p>
    <w:p>
      <w:pPr>
        <w:pStyle w:val="6"/>
        <w:tabs>
          <w:tab w:val="left" w:pos="420"/>
        </w:tabs>
        <w:rPr>
          <w:rFonts w:hint="eastAsia" w:hAnsi="宋体"/>
        </w:rPr>
      </w:pPr>
      <w:r>
        <w:rPr>
          <w:rFonts w:hint="eastAsia" w:hAnsi="宋体"/>
          <w:sz w:val="24"/>
        </w:rPr>
        <w:t>寄。</w:t>
      </w:r>
    </w:p>
    <w:p>
      <w:pPr>
        <w:pStyle w:val="4"/>
        <w:ind w:firstLine="482" w:firstLineChars="200"/>
        <w:jc w:val="both"/>
        <w:rPr>
          <w:rFonts w:hint="eastAsia" w:hAnsi="宋体"/>
          <w:b/>
          <w:sz w:val="24"/>
          <w:szCs w:val="24"/>
        </w:rPr>
      </w:pPr>
      <w:r>
        <w:rPr>
          <w:rFonts w:hint="eastAsia" w:hAnsi="宋体"/>
          <w:b/>
          <w:sz w:val="24"/>
          <w:szCs w:val="24"/>
        </w:rPr>
        <w:t>四、投标</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r>
        <w:rPr>
          <w:rFonts w:hint="eastAsia" w:hAnsi="宋体"/>
          <w:b/>
          <w:sz w:val="24"/>
          <w:szCs w:val="24"/>
        </w:rPr>
        <w:t>要求</w:t>
      </w:r>
      <w:bookmarkEnd w:id="131"/>
      <w:bookmarkEnd w:id="132"/>
    </w:p>
    <w:p>
      <w:pPr>
        <w:pStyle w:val="6"/>
        <w:numPr>
          <w:ilvl w:val="0"/>
          <w:numId w:val="5"/>
        </w:numPr>
        <w:tabs>
          <w:tab w:val="clear" w:pos="851"/>
        </w:tabs>
        <w:ind w:left="0" w:firstLine="482" w:firstLineChars="200"/>
        <w:rPr>
          <w:rFonts w:hint="eastAsia" w:hAnsi="宋体"/>
          <w:b/>
          <w:sz w:val="24"/>
          <w:szCs w:val="24"/>
        </w:rPr>
      </w:pPr>
      <w:bookmarkStart w:id="135" w:name="_Toc134956127"/>
      <w:bookmarkStart w:id="136" w:name="_Toc41723925"/>
      <w:bookmarkStart w:id="137" w:name="_Toc41884695"/>
      <w:bookmarkStart w:id="138" w:name="_Toc42394663"/>
      <w:bookmarkStart w:id="139" w:name="_Toc50276147"/>
      <w:bookmarkStart w:id="140" w:name="_Toc98580283"/>
      <w:bookmarkStart w:id="141" w:name="_Toc98579600"/>
      <w:bookmarkStart w:id="142" w:name="_Toc101843118"/>
      <w:bookmarkStart w:id="143" w:name="_Toc42394506"/>
      <w:bookmarkStart w:id="144" w:name="_Toc98579059"/>
      <w:bookmarkStart w:id="145" w:name="_Toc98579001"/>
      <w:bookmarkStart w:id="146" w:name="_Toc101951251"/>
      <w:bookmarkStart w:id="147" w:name="_Toc101775118"/>
      <w:bookmarkStart w:id="148" w:name="_Toc42313161"/>
      <w:bookmarkStart w:id="149" w:name="_Toc101771365"/>
      <w:r>
        <w:rPr>
          <w:rFonts w:hint="eastAsia" w:hAnsi="宋体"/>
          <w:b/>
          <w:sz w:val="24"/>
          <w:szCs w:val="24"/>
        </w:rPr>
        <w:t>投标文件的制作</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
      <w:pPr>
        <w:pStyle w:val="6"/>
        <w:tabs>
          <w:tab w:val="left" w:pos="900"/>
        </w:tabs>
        <w:ind w:firstLine="480" w:firstLineChars="200"/>
        <w:rPr>
          <w:rFonts w:hAnsi="宋体"/>
          <w:sz w:val="24"/>
        </w:rPr>
      </w:pPr>
      <w:r>
        <w:rPr>
          <w:rFonts w:hint="eastAsia" w:hAnsi="宋体"/>
          <w:sz w:val="24"/>
          <w:szCs w:val="24"/>
        </w:rPr>
        <w:t>1、</w:t>
      </w:r>
      <w:r>
        <w:rPr>
          <w:rFonts w:hint="eastAsia" w:hAnsi="宋体"/>
          <w:sz w:val="24"/>
        </w:rPr>
        <w:t>投标人不得将同一个项目或同一个子项目的内容拆开投标，否则其报价将被视为非实质性响应。</w:t>
      </w:r>
    </w:p>
    <w:p>
      <w:pPr>
        <w:pStyle w:val="6"/>
        <w:tabs>
          <w:tab w:val="left" w:pos="900"/>
        </w:tabs>
        <w:ind w:firstLine="480" w:firstLineChars="200"/>
        <w:rPr>
          <w:rFonts w:hAnsi="宋体"/>
          <w:sz w:val="24"/>
          <w:szCs w:val="24"/>
        </w:rPr>
      </w:pPr>
      <w:r>
        <w:rPr>
          <w:rFonts w:hint="eastAsia" w:hAnsi="宋体"/>
          <w:sz w:val="24"/>
          <w:szCs w:val="24"/>
        </w:rPr>
        <w:t>2、投标人须对招标文件的对应要求给予唯一的实质性响应，否则将视为不响应。</w:t>
      </w:r>
    </w:p>
    <w:p>
      <w:pPr>
        <w:pStyle w:val="6"/>
        <w:tabs>
          <w:tab w:val="left" w:pos="900"/>
        </w:tabs>
        <w:ind w:firstLine="480" w:firstLineChars="200"/>
        <w:rPr>
          <w:rFonts w:hint="eastAsia" w:hAnsi="宋体"/>
          <w:color w:val="FF0000"/>
        </w:rPr>
      </w:pPr>
      <w:r>
        <w:rPr>
          <w:rFonts w:hint="eastAsia" w:hAnsi="宋体"/>
          <w:sz w:val="24"/>
        </w:rPr>
        <w:t>3、招标文件中</w:t>
      </w:r>
      <w:r>
        <w:rPr>
          <w:rFonts w:hint="eastAsia" w:hAnsi="宋体"/>
          <w:sz w:val="24"/>
          <w:szCs w:val="24"/>
        </w:rPr>
        <w:t>，凡标有“★”的地方均为实质性响应条款，投标人若有一项带“★”的条款未响应或不满足，将按无效投标处理。</w:t>
      </w:r>
      <w:bookmarkStart w:id="150" w:name="EBddb9b364d5604cd0b879c551717f0bc3"/>
      <w:r>
        <w:rPr>
          <w:rFonts w:hAnsi="宋体"/>
          <w:sz w:val="20"/>
          <w:szCs w:val="24"/>
        </w:rPr>
        <w:t xml:space="preserve"> </w:t>
      </w:r>
      <w:bookmarkEnd w:id="150"/>
    </w:p>
    <w:p>
      <w:pPr>
        <w:pStyle w:val="6"/>
        <w:tabs>
          <w:tab w:val="left" w:pos="900"/>
        </w:tabs>
        <w:ind w:firstLine="480" w:firstLineChars="200"/>
        <w:rPr>
          <w:rFonts w:hint="eastAsia" w:hAnsi="宋体"/>
          <w:sz w:val="24"/>
          <w:szCs w:val="24"/>
        </w:rPr>
      </w:pPr>
      <w:r>
        <w:rPr>
          <w:rFonts w:hint="eastAsia" w:hAnsi="宋体"/>
          <w:sz w:val="24"/>
          <w:szCs w:val="24"/>
          <w:lang w:val="en-US" w:eastAsia="zh-CN"/>
        </w:rPr>
        <w:t>4</w:t>
      </w:r>
      <w:r>
        <w:rPr>
          <w:rFonts w:hint="eastAsia" w:hAnsi="宋体"/>
          <w:sz w:val="24"/>
          <w:szCs w:val="24"/>
        </w:rPr>
        <w:t>、投标人必须按招标文件指定的格式填写各种报价，各报价应计算正确。除在招标文件另有规定外，计量单位应使用中华人民共和国法定计量单位，以人民币填报所有报价。</w:t>
      </w:r>
    </w:p>
    <w:p>
      <w:pPr>
        <w:pStyle w:val="6"/>
        <w:tabs>
          <w:tab w:val="left" w:pos="900"/>
        </w:tabs>
        <w:ind w:firstLine="480" w:firstLineChars="200"/>
        <w:rPr>
          <w:rFonts w:hint="eastAsia" w:hAnsi="宋体"/>
          <w:sz w:val="24"/>
          <w:szCs w:val="24"/>
        </w:rPr>
      </w:pPr>
      <w:r>
        <w:rPr>
          <w:rFonts w:hint="eastAsia" w:hAnsi="宋体"/>
          <w:sz w:val="24"/>
          <w:szCs w:val="24"/>
          <w:lang w:val="en-US" w:eastAsia="zh-CN"/>
        </w:rPr>
        <w:t>5</w:t>
      </w:r>
      <w:r>
        <w:rPr>
          <w:rFonts w:hint="eastAsia" w:hAnsi="宋体"/>
          <w:sz w:val="24"/>
          <w:szCs w:val="24"/>
        </w:rPr>
        <w:t>、投标文件以及投标人与采购人就有关投标的往来函电均应使用中文。投标人提交的支持性文件和印制的文件可以用另一种语言，但相应内容应翻译成中文，在解释投标文件时以中文文本为准。</w:t>
      </w:r>
    </w:p>
    <w:p>
      <w:pPr>
        <w:pStyle w:val="6"/>
        <w:tabs>
          <w:tab w:val="left" w:pos="900"/>
        </w:tabs>
        <w:ind w:firstLine="480" w:firstLineChars="200"/>
        <w:rPr>
          <w:rStyle w:val="15"/>
          <w:rFonts w:hAnsi="宋体"/>
          <w:sz w:val="24"/>
          <w:szCs w:val="24"/>
        </w:rPr>
      </w:pPr>
      <w:r>
        <w:rPr>
          <w:rFonts w:hint="eastAsia" w:hAnsi="宋体"/>
          <w:sz w:val="24"/>
          <w:szCs w:val="24"/>
          <w:lang w:val="en-US" w:eastAsia="zh-CN"/>
        </w:rPr>
        <w:t>6</w:t>
      </w:r>
      <w:r>
        <w:rPr>
          <w:rFonts w:hint="eastAsia" w:hAnsi="宋体"/>
          <w:sz w:val="24"/>
          <w:szCs w:val="24"/>
        </w:rPr>
        <w:t>、投标人应按招标文件的规定及附件要求的内容和格式完整地填写和提供资料。</w:t>
      </w:r>
      <w:r>
        <w:rPr>
          <w:rStyle w:val="15"/>
          <w:rFonts w:hint="eastAsia" w:hAnsi="宋体"/>
          <w:sz w:val="24"/>
          <w:szCs w:val="24"/>
        </w:rPr>
        <w:t>投标人必须对投标文件所提供的全部资料的真实性承担法律责任，并无条件接受采购人监督管理部门对其中任何资料进行核实（核对原件）的要求</w:t>
      </w:r>
      <w:r>
        <w:rPr>
          <w:rFonts w:hint="eastAsia" w:hAnsi="宋体"/>
          <w:sz w:val="24"/>
          <w:szCs w:val="24"/>
        </w:rPr>
        <w:t>。</w:t>
      </w:r>
      <w:r>
        <w:rPr>
          <w:rStyle w:val="15"/>
          <w:rFonts w:hint="eastAsia" w:hAnsi="宋体"/>
          <w:sz w:val="24"/>
          <w:szCs w:val="24"/>
        </w:rPr>
        <w:t>采购人核对发现有不一致或供应商无正当理由不按时提供原件的，应当书面知会投标人。</w:t>
      </w:r>
    </w:p>
    <w:p>
      <w:pPr>
        <w:pStyle w:val="6"/>
        <w:ind w:firstLine="480" w:firstLineChars="200"/>
        <w:rPr>
          <w:rFonts w:hint="eastAsia" w:hAnsi="宋体"/>
          <w:sz w:val="24"/>
          <w:szCs w:val="24"/>
        </w:rPr>
      </w:pPr>
      <w:r>
        <w:rPr>
          <w:rFonts w:hint="eastAsia" w:hAnsi="宋体"/>
          <w:sz w:val="24"/>
          <w:szCs w:val="24"/>
          <w:lang w:val="en-US" w:eastAsia="zh-CN"/>
        </w:rPr>
        <w:t>7</w:t>
      </w:r>
      <w:r>
        <w:rPr>
          <w:rFonts w:hint="eastAsia" w:hAnsi="宋体"/>
          <w:sz w:val="24"/>
          <w:szCs w:val="24"/>
        </w:rPr>
        <w:t>、投标人应承担其资格审查申请文件编制与提交所涉及的一切费用，在任何情况下采购人对上述费用均不负任何责任。</w:t>
      </w:r>
    </w:p>
    <w:p>
      <w:pPr>
        <w:pStyle w:val="6"/>
        <w:ind w:firstLine="480" w:firstLineChars="200"/>
        <w:rPr>
          <w:rFonts w:hint="eastAsia" w:hAnsi="宋体"/>
          <w:sz w:val="24"/>
        </w:rPr>
      </w:pPr>
      <w:r>
        <w:rPr>
          <w:rFonts w:hint="eastAsia" w:hAnsi="宋体"/>
          <w:sz w:val="24"/>
          <w:szCs w:val="24"/>
          <w:lang w:val="en-US" w:eastAsia="zh-CN"/>
        </w:rPr>
        <w:t>8</w:t>
      </w:r>
      <w:r>
        <w:rPr>
          <w:rFonts w:hint="eastAsia" w:hAnsi="宋体"/>
          <w:sz w:val="24"/>
          <w:szCs w:val="24"/>
        </w:rPr>
        <w:t>、★投标文件格式中如有《技术方案一般性条款响应差异表》的，投标人在该表中所列的货物应与《报价明细表》中所报价项目中的货物保持一致，如有不一致的，作无效投标处理。</w:t>
      </w:r>
      <w:bookmarkStart w:id="151" w:name="_Toc101775121"/>
      <w:bookmarkStart w:id="152" w:name="_Toc101843121"/>
      <w:bookmarkStart w:id="153" w:name="_Toc101771368"/>
      <w:bookmarkStart w:id="154" w:name="_Toc101951254"/>
      <w:bookmarkStart w:id="155" w:name="_Toc134956130"/>
    </w:p>
    <w:bookmarkEnd w:id="151"/>
    <w:bookmarkEnd w:id="152"/>
    <w:bookmarkEnd w:id="153"/>
    <w:bookmarkEnd w:id="154"/>
    <w:bookmarkEnd w:id="155"/>
    <w:p>
      <w:pPr>
        <w:pStyle w:val="6"/>
        <w:numPr>
          <w:ilvl w:val="0"/>
          <w:numId w:val="5"/>
        </w:numPr>
        <w:tabs>
          <w:tab w:val="clear" w:pos="851"/>
        </w:tabs>
        <w:ind w:left="0" w:firstLine="482" w:firstLineChars="200"/>
        <w:rPr>
          <w:rFonts w:hint="eastAsia" w:hAnsi="宋体"/>
          <w:b/>
          <w:sz w:val="24"/>
          <w:szCs w:val="24"/>
        </w:rPr>
      </w:pPr>
      <w:r>
        <w:rPr>
          <w:rFonts w:hint="eastAsia" w:hAnsi="宋体"/>
          <w:b/>
          <w:sz w:val="24"/>
          <w:szCs w:val="24"/>
        </w:rPr>
        <w:t>投标文件的修改、撤回与撤销</w:t>
      </w:r>
    </w:p>
    <w:p>
      <w:pPr>
        <w:pStyle w:val="6"/>
        <w:ind w:firstLine="480" w:firstLineChars="200"/>
        <w:rPr>
          <w:rFonts w:hint="eastAsia" w:hAnsi="宋体"/>
          <w:sz w:val="24"/>
          <w:szCs w:val="24"/>
        </w:rPr>
      </w:pPr>
      <w:bookmarkStart w:id="156" w:name="_Toc134955425"/>
      <w:r>
        <w:rPr>
          <w:rFonts w:hint="eastAsia" w:hAnsi="宋体"/>
          <w:sz w:val="24"/>
          <w:szCs w:val="24"/>
        </w:rPr>
        <w:t>1、在提交投标文件截止时间前，投标人可以修改或撤回未解密的投标文件，投标文件一经解密，将不允许修改或撤回。</w:t>
      </w:r>
      <w:bookmarkEnd w:id="156"/>
    </w:p>
    <w:p>
      <w:pPr>
        <w:pStyle w:val="6"/>
        <w:ind w:firstLine="480" w:firstLineChars="200"/>
        <w:rPr>
          <w:rFonts w:hint="eastAsia" w:hAnsi="宋体"/>
          <w:sz w:val="24"/>
          <w:szCs w:val="24"/>
        </w:rPr>
      </w:pPr>
      <w:bookmarkStart w:id="157" w:name="_Toc134955426"/>
      <w:r>
        <w:rPr>
          <w:rFonts w:hint="eastAsia" w:hAnsi="宋体"/>
          <w:sz w:val="24"/>
          <w:szCs w:val="24"/>
        </w:rPr>
        <w:t>2、在提交投标文件截止时间后，投标人不得补充、修改和更换投标文件。</w:t>
      </w:r>
      <w:bookmarkEnd w:id="157"/>
    </w:p>
    <w:p>
      <w:pPr>
        <w:pStyle w:val="6"/>
        <w:tabs>
          <w:tab w:val="clear" w:pos="851"/>
        </w:tabs>
        <w:ind w:firstLine="482" w:firstLineChars="200"/>
        <w:rPr>
          <w:rFonts w:hint="eastAsia" w:hAnsi="宋体"/>
          <w:b/>
          <w:sz w:val="24"/>
          <w:szCs w:val="24"/>
        </w:rPr>
      </w:pPr>
      <w:bookmarkStart w:id="158" w:name="_Toc41884698"/>
      <w:bookmarkStart w:id="159" w:name="_Toc98580286"/>
      <w:bookmarkStart w:id="160" w:name="_Toc98579603"/>
      <w:bookmarkStart w:id="161" w:name="_Toc41723928"/>
      <w:bookmarkStart w:id="162" w:name="_Toc98579062"/>
      <w:bookmarkStart w:id="163" w:name="_Toc101771370"/>
      <w:bookmarkStart w:id="164" w:name="_Toc101775123"/>
      <w:bookmarkStart w:id="165" w:name="_Toc98579004"/>
      <w:bookmarkStart w:id="166" w:name="_Toc50276150"/>
      <w:bookmarkStart w:id="167" w:name="_Toc42394666"/>
      <w:bookmarkStart w:id="168" w:name="_Toc42313164"/>
      <w:bookmarkStart w:id="169" w:name="_Toc101951256"/>
      <w:bookmarkStart w:id="170" w:name="_Toc101843123"/>
      <w:bookmarkStart w:id="171" w:name="_Toc134956132"/>
      <w:bookmarkStart w:id="172" w:name="_Toc42394509"/>
      <w:r>
        <w:rPr>
          <w:rFonts w:hint="eastAsia" w:hAnsi="宋体"/>
          <w:b/>
          <w:sz w:val="24"/>
          <w:szCs w:val="24"/>
        </w:rPr>
        <w:t>（三）投标有效期</w:t>
      </w:r>
    </w:p>
    <w:p>
      <w:pPr>
        <w:pStyle w:val="5"/>
        <w:tabs>
          <w:tab w:val="left" w:pos="900"/>
        </w:tabs>
        <w:spacing w:line="360" w:lineRule="auto"/>
        <w:ind w:firstLine="480" w:firstLineChars="200"/>
        <w:rPr>
          <w:rFonts w:hint="eastAsia" w:ascii="宋体" w:hAnsi="宋体"/>
          <w:sz w:val="24"/>
          <w:szCs w:val="24"/>
        </w:rPr>
      </w:pPr>
      <w:r>
        <w:rPr>
          <w:rFonts w:hint="eastAsia" w:ascii="宋体" w:hAnsi="宋体"/>
          <w:sz w:val="24"/>
          <w:szCs w:val="24"/>
        </w:rPr>
        <w:t>投标有效期从提交投标文件的截止之日起算90天。</w:t>
      </w:r>
    </w:p>
    <w:p>
      <w:pPr>
        <w:pStyle w:val="5"/>
        <w:tabs>
          <w:tab w:val="left" w:pos="900"/>
        </w:tabs>
        <w:spacing w:line="360" w:lineRule="auto"/>
        <w:ind w:firstLine="480" w:firstLineChars="200"/>
        <w:rPr>
          <w:rFonts w:ascii="宋体" w:hAnsi="宋体"/>
          <w:sz w:val="24"/>
          <w:szCs w:val="24"/>
        </w:rPr>
      </w:pPr>
      <w:r>
        <w:rPr>
          <w:rFonts w:hint="eastAsia" w:ascii="宋体" w:hAnsi="宋体"/>
          <w:sz w:val="24"/>
          <w:szCs w:val="24"/>
        </w:rPr>
        <w:t>在特殊情况下，采购人可于投标有效期满之前要求投标人同意延长有效期，要求与答复均以书面形式进行。投标人可以拒绝上述要求，但其投标将会被拒绝</w:t>
      </w:r>
      <w:bookmarkStart w:id="173" w:name="EBf601c18db4ac4bb394df019c799f8e04"/>
      <w:bookmarkEnd w:id="173"/>
      <w:r>
        <w:rPr>
          <w:rFonts w:hint="eastAsia" w:ascii="宋体" w:hAnsi="宋体"/>
          <w:sz w:val="24"/>
          <w:szCs w:val="24"/>
        </w:rPr>
        <w:t>；同意延期的投标人其权利与义务相应延至新的截止期。</w:t>
      </w:r>
    </w:p>
    <w:p>
      <w:pPr>
        <w:pStyle w:val="6"/>
        <w:tabs>
          <w:tab w:val="clear" w:pos="851"/>
        </w:tabs>
        <w:ind w:firstLine="482" w:firstLineChars="200"/>
        <w:rPr>
          <w:rFonts w:hint="eastAsia" w:hAnsi="宋体"/>
          <w:b/>
          <w:sz w:val="24"/>
          <w:szCs w:val="24"/>
        </w:rPr>
      </w:pPr>
      <w:r>
        <w:rPr>
          <w:rFonts w:hint="eastAsia" w:hAnsi="宋体"/>
          <w:b/>
          <w:sz w:val="24"/>
          <w:szCs w:val="24"/>
        </w:rPr>
        <w:t>（四）投标保证金</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
      <w:pPr>
        <w:pStyle w:val="6"/>
        <w:tabs>
          <w:tab w:val="clear" w:pos="851"/>
        </w:tabs>
        <w:ind w:firstLine="480" w:firstLineChars="200"/>
        <w:rPr>
          <w:rFonts w:hint="eastAsia" w:hAnsi="宋体"/>
          <w:sz w:val="24"/>
        </w:rPr>
      </w:pPr>
      <w:bookmarkStart w:id="174" w:name="EB5f0fe7692f1d46588b637d0f48f56b6f"/>
      <w:r>
        <w:rPr>
          <w:rFonts w:hAnsi="宋体"/>
          <w:sz w:val="24"/>
        </w:rPr>
        <w:t>本项目</w:t>
      </w:r>
      <w:r>
        <w:rPr>
          <w:rFonts w:hint="eastAsia" w:hAnsi="宋体"/>
          <w:sz w:val="24"/>
        </w:rPr>
        <w:t>收取</w:t>
      </w:r>
      <w:r>
        <w:rPr>
          <w:rFonts w:hAnsi="宋体"/>
          <w:sz w:val="24"/>
        </w:rPr>
        <w:t>投标保证金</w:t>
      </w:r>
      <w:r>
        <w:rPr>
          <w:rFonts w:hint="eastAsia" w:hAnsi="宋体"/>
          <w:sz w:val="24"/>
        </w:rPr>
        <w:t>人民币</w:t>
      </w:r>
      <w:r>
        <w:rPr>
          <w:rFonts w:hint="eastAsia" w:hAnsi="宋体"/>
          <w:b/>
          <w:bCs/>
          <w:sz w:val="24"/>
          <w:lang w:eastAsia="zh-CN"/>
        </w:rPr>
        <w:t>贰</w:t>
      </w:r>
      <w:r>
        <w:rPr>
          <w:rFonts w:hint="eastAsia" w:hAnsi="宋体"/>
          <w:b/>
          <w:bCs/>
          <w:sz w:val="24"/>
        </w:rPr>
        <w:t>万元整</w:t>
      </w:r>
      <w:r>
        <w:rPr>
          <w:rFonts w:hint="eastAsia" w:hAnsi="宋体"/>
          <w:b/>
          <w:bCs/>
          <w:sz w:val="24"/>
          <w:lang w:eastAsia="zh-CN"/>
        </w:rPr>
        <w:t>，</w:t>
      </w:r>
      <w:r>
        <w:rPr>
          <w:rFonts w:hint="eastAsia" w:hAnsi="宋体"/>
          <w:sz w:val="24"/>
        </w:rPr>
        <w:t>并于投标当日以银行电汇形式转账至广州电缆厂有限公司对公账号</w:t>
      </w:r>
      <w:bookmarkEnd w:id="174"/>
      <w:r>
        <w:rPr>
          <w:rFonts w:hint="eastAsia" w:hAnsi="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单位名称：广州电缆厂有限公司</w:t>
      </w:r>
    </w:p>
    <w:p>
      <w:pPr>
        <w:spacing w:line="360" w:lineRule="auto"/>
        <w:ind w:firstLine="480" w:firstLineChars="200"/>
        <w:rPr>
          <w:rFonts w:hint="eastAsia" w:ascii="宋体" w:hAnsi="宋体" w:cs="宋体"/>
          <w:sz w:val="24"/>
        </w:rPr>
      </w:pPr>
      <w:r>
        <w:rPr>
          <w:rFonts w:hint="eastAsia" w:ascii="宋体" w:hAnsi="宋体" w:cs="宋体"/>
          <w:sz w:val="24"/>
        </w:rPr>
        <w:t>开户行：中信银行广州中国大酒店支行</w:t>
      </w:r>
    </w:p>
    <w:p>
      <w:pPr>
        <w:spacing w:line="360" w:lineRule="auto"/>
        <w:ind w:firstLine="480" w:firstLineChars="200"/>
        <w:rPr>
          <w:rFonts w:hint="eastAsia" w:ascii="宋体" w:hAnsi="宋体" w:cs="宋体"/>
          <w:sz w:val="24"/>
        </w:rPr>
      </w:pPr>
      <w:r>
        <w:rPr>
          <w:rFonts w:hint="eastAsia" w:ascii="宋体" w:hAnsi="宋体" w:cs="宋体"/>
          <w:sz w:val="24"/>
        </w:rPr>
        <w:t>账号：7443800182600070980</w:t>
      </w:r>
    </w:p>
    <w:p>
      <w:pPr>
        <w:spacing w:line="360" w:lineRule="auto"/>
        <w:ind w:firstLine="480" w:firstLineChars="200"/>
        <w:rPr>
          <w:rFonts w:hint="eastAsia" w:ascii="宋体" w:hAnsi="宋体" w:cs="宋体"/>
          <w:sz w:val="24"/>
          <w:szCs w:val="24"/>
        </w:rPr>
      </w:pPr>
      <w:r>
        <w:rPr>
          <w:rFonts w:hint="eastAsia" w:hAnsi="宋体"/>
          <w:sz w:val="24"/>
          <w:szCs w:val="24"/>
        </w:rPr>
        <w:t>待投标结束后15个工作日内，无息、原路退回不中标者的投标保证金，中标者保证金直接转为履约保证金</w:t>
      </w:r>
      <w:r>
        <w:rPr>
          <w:rFonts w:hint="eastAsia" w:hAnsi="宋体"/>
          <w:sz w:val="24"/>
          <w:szCs w:val="24"/>
          <w:lang w:eastAsia="zh-CN"/>
        </w:rPr>
        <w:t>，</w:t>
      </w:r>
      <w:r>
        <w:rPr>
          <w:rFonts w:hint="eastAsia" w:hAnsi="宋体"/>
          <w:b w:val="0"/>
          <w:bCs w:val="0"/>
          <w:sz w:val="24"/>
          <w:szCs w:val="24"/>
          <w:lang w:eastAsia="zh-CN"/>
        </w:rPr>
        <w:t>履约保证金为</w:t>
      </w:r>
      <w:r>
        <w:rPr>
          <w:rFonts w:hint="eastAsia" w:hAnsi="宋体"/>
          <w:b/>
          <w:bCs/>
          <w:sz w:val="24"/>
          <w:szCs w:val="24"/>
          <w:lang w:eastAsia="zh-CN"/>
        </w:rPr>
        <w:t>伍</w:t>
      </w:r>
      <w:r>
        <w:rPr>
          <w:rFonts w:hint="eastAsia" w:hAnsi="宋体"/>
          <w:b/>
          <w:bCs/>
          <w:sz w:val="24"/>
        </w:rPr>
        <w:t>万元整</w:t>
      </w:r>
      <w:r>
        <w:rPr>
          <w:rFonts w:hint="eastAsia" w:hAnsi="宋体"/>
          <w:sz w:val="24"/>
          <w:szCs w:val="24"/>
        </w:rPr>
        <w:t>。下列任何一种情况发生时，采购人有权不予退还中标人的投标/履约保证金，</w:t>
      </w:r>
      <w:r>
        <w:rPr>
          <w:rFonts w:hint="eastAsia" w:ascii="宋体" w:hAnsi="宋体" w:cs="宋体"/>
          <w:sz w:val="24"/>
          <w:szCs w:val="24"/>
        </w:rPr>
        <w:t>提出重新招标或者改由中标候选人按顺序中标：</w:t>
      </w:r>
    </w:p>
    <w:p>
      <w:pPr>
        <w:spacing w:line="360" w:lineRule="auto"/>
        <w:ind w:firstLine="480" w:firstLineChars="200"/>
        <w:rPr>
          <w:rFonts w:hint="eastAsia" w:hAnsi="宋体"/>
          <w:sz w:val="24"/>
          <w:szCs w:val="24"/>
        </w:rPr>
      </w:pPr>
      <w:bookmarkStart w:id="175" w:name="EB9939003c118c4889ad696262856da91f"/>
      <w:bookmarkEnd w:id="175"/>
      <w:bookmarkStart w:id="176" w:name="_Toc98579010"/>
      <w:bookmarkStart w:id="177" w:name="_Toc98579068"/>
      <w:bookmarkStart w:id="178" w:name="_Toc50276195"/>
      <w:bookmarkStart w:id="179" w:name="_Toc37331038"/>
      <w:bookmarkStart w:id="180" w:name="_Toc101951257"/>
      <w:bookmarkStart w:id="181" w:name="_Toc46308527"/>
      <w:bookmarkStart w:id="182" w:name="_Toc98579609"/>
      <w:bookmarkStart w:id="183" w:name="_Toc175644388"/>
      <w:bookmarkStart w:id="184" w:name="_Toc98035088"/>
      <w:bookmarkStart w:id="185" w:name="_Toc50276156"/>
      <w:bookmarkStart w:id="186" w:name="_Toc403491565"/>
      <w:bookmarkStart w:id="187" w:name="_Toc101775124"/>
      <w:bookmarkStart w:id="188" w:name="_Toc101771371"/>
      <w:bookmarkStart w:id="189" w:name="_Toc101843124"/>
      <w:bookmarkStart w:id="190" w:name="_Toc401575143"/>
      <w:bookmarkStart w:id="191" w:name="_Toc40762370"/>
      <w:bookmarkStart w:id="192" w:name="_Toc37663391"/>
      <w:bookmarkStart w:id="193" w:name="_Toc46308683"/>
      <w:bookmarkStart w:id="194" w:name="_Toc37581420"/>
      <w:bookmarkStart w:id="195" w:name="_Toc37569519"/>
      <w:bookmarkStart w:id="196" w:name="_Toc37245276"/>
      <w:bookmarkStart w:id="197" w:name="_Toc37331080"/>
      <w:bookmarkStart w:id="198" w:name="_Toc98580292"/>
      <w:r>
        <w:rPr>
          <w:rFonts w:hint="eastAsia" w:hAnsi="宋体"/>
          <w:sz w:val="24"/>
          <w:szCs w:val="24"/>
        </w:rPr>
        <w:t>（一）</w:t>
      </w:r>
      <w:r>
        <w:rPr>
          <w:rFonts w:hint="eastAsia" w:ascii="宋体" w:hAnsi="宋体" w:cs="宋体"/>
          <w:sz w:val="24"/>
          <w:szCs w:val="24"/>
        </w:rPr>
        <w:t>中标人放弃中标或</w:t>
      </w:r>
      <w:r>
        <w:rPr>
          <w:rFonts w:hint="eastAsia" w:hAnsi="宋体"/>
          <w:sz w:val="24"/>
          <w:szCs w:val="24"/>
        </w:rPr>
        <w:t>在中标后因任何自身原因不与采购人签订合同的；</w:t>
      </w:r>
    </w:p>
    <w:p>
      <w:pPr>
        <w:pStyle w:val="2"/>
        <w:ind w:firstLine="480" w:firstLineChars="200"/>
        <w:rPr>
          <w:rFonts w:hint="eastAsia" w:ascii="宋体" w:hAnsi="宋体" w:cs="宋体"/>
          <w:sz w:val="24"/>
          <w:szCs w:val="24"/>
        </w:rPr>
      </w:pPr>
      <w:r>
        <w:rPr>
          <w:rFonts w:hint="eastAsia" w:ascii="宋体" w:hAnsi="宋体" w:cs="宋体"/>
          <w:sz w:val="24"/>
          <w:szCs w:val="24"/>
        </w:rPr>
        <w:t>（二）中标人因不可抗力提出不能履约合同；</w:t>
      </w:r>
    </w:p>
    <w:p>
      <w:pPr>
        <w:pStyle w:val="2"/>
        <w:ind w:firstLine="480" w:firstLineChars="200"/>
        <w:rPr>
          <w:rFonts w:hint="eastAsia" w:ascii="宋体" w:hAnsi="宋体" w:cs="宋体"/>
          <w:sz w:val="24"/>
          <w:szCs w:val="24"/>
        </w:rPr>
      </w:pPr>
      <w:r>
        <w:rPr>
          <w:rFonts w:hint="eastAsia" w:ascii="宋体" w:hAnsi="宋体" w:cs="宋体"/>
          <w:sz w:val="24"/>
          <w:szCs w:val="24"/>
        </w:rPr>
        <w:t>（三）不按照</w:t>
      </w:r>
      <w:r>
        <w:rPr>
          <w:rFonts w:hint="eastAsia" w:hAnsi="宋体"/>
          <w:sz w:val="24"/>
          <w:szCs w:val="24"/>
        </w:rPr>
        <w:t>招投标文件等</w:t>
      </w:r>
      <w:r>
        <w:rPr>
          <w:rFonts w:hint="eastAsia" w:ascii="宋体" w:hAnsi="宋体" w:cs="宋体"/>
          <w:sz w:val="24"/>
          <w:szCs w:val="24"/>
        </w:rPr>
        <w:t>履约，使采购人造成任何经济损失的；</w:t>
      </w:r>
    </w:p>
    <w:p>
      <w:pPr>
        <w:pStyle w:val="2"/>
        <w:ind w:firstLine="480" w:firstLineChars="200"/>
        <w:rPr>
          <w:rFonts w:hint="eastAsia" w:hAnsi="宋体"/>
          <w:sz w:val="24"/>
          <w:szCs w:val="24"/>
        </w:rPr>
      </w:pPr>
      <w:r>
        <w:rPr>
          <w:rFonts w:hint="eastAsia" w:ascii="宋体" w:hAnsi="宋体" w:cs="宋体"/>
          <w:sz w:val="24"/>
          <w:szCs w:val="24"/>
        </w:rPr>
        <w:t>（四）中标人被查实存在影响中标结果的违法违规行为。</w:t>
      </w: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2"/>
        <w:rPr>
          <w:rFonts w:hint="eastAsia" w:hAnsi="宋体"/>
          <w:sz w:val="24"/>
          <w:szCs w:val="24"/>
        </w:rPr>
      </w:pPr>
    </w:p>
    <w:p>
      <w:pPr>
        <w:pStyle w:val="3"/>
        <w:spacing w:before="200" w:after="200" w:line="360" w:lineRule="auto"/>
        <w:jc w:val="center"/>
        <w:rPr>
          <w:rFonts w:ascii="宋体" w:hAnsi="宋体"/>
          <w:sz w:val="30"/>
          <w:szCs w:val="30"/>
        </w:rPr>
      </w:pPr>
    </w:p>
    <w:p>
      <w:pPr>
        <w:pStyle w:val="2"/>
        <w:rPr>
          <w:rFonts w:hint="eastAsia" w:ascii="宋体" w:hAnsi="宋体" w:eastAsia="宋体"/>
          <w:sz w:val="30"/>
          <w:szCs w:val="30"/>
          <w:lang w:val="en-US" w:eastAsia="zh-CN"/>
        </w:rPr>
      </w:pPr>
    </w:p>
    <w:p>
      <w:pPr>
        <w:pStyle w:val="2"/>
        <w:rPr>
          <w:rFonts w:hint="eastAsia" w:ascii="宋体" w:hAnsi="宋体" w:eastAsia="宋体"/>
          <w:sz w:val="30"/>
          <w:szCs w:val="30"/>
          <w:lang w:val="en-US" w:eastAsia="zh-CN"/>
        </w:rPr>
      </w:pPr>
    </w:p>
    <w:p>
      <w:pPr>
        <w:pStyle w:val="2"/>
        <w:rPr>
          <w:rFonts w:hint="eastAsia" w:ascii="宋体" w:hAnsi="宋体" w:eastAsia="宋体"/>
          <w:sz w:val="30"/>
          <w:szCs w:val="30"/>
          <w:lang w:val="en-US" w:eastAsia="zh-CN"/>
        </w:rPr>
      </w:pPr>
    </w:p>
    <w:p>
      <w:pPr>
        <w:pStyle w:val="2"/>
        <w:rPr>
          <w:rFonts w:hint="eastAsia" w:ascii="宋体" w:hAnsi="宋体" w:eastAsia="宋体"/>
          <w:sz w:val="30"/>
          <w:szCs w:val="30"/>
          <w:lang w:val="en-US" w:eastAsia="zh-CN"/>
        </w:rPr>
      </w:pPr>
    </w:p>
    <w:p>
      <w:pPr>
        <w:pStyle w:val="3"/>
        <w:spacing w:before="200" w:after="200" w:line="360" w:lineRule="auto"/>
        <w:jc w:val="center"/>
        <w:rPr>
          <w:rFonts w:ascii="宋体" w:hAnsi="宋体"/>
          <w:sz w:val="30"/>
          <w:szCs w:val="30"/>
        </w:rPr>
      </w:pPr>
    </w:p>
    <w:p>
      <w:pPr>
        <w:pStyle w:val="3"/>
        <w:spacing w:before="200" w:after="200" w:line="360" w:lineRule="auto"/>
        <w:jc w:val="center"/>
        <w:rPr>
          <w:rFonts w:hint="eastAsia" w:ascii="宋体" w:hAnsi="宋体"/>
          <w:sz w:val="30"/>
          <w:szCs w:val="30"/>
        </w:rPr>
      </w:pPr>
      <w:r>
        <w:rPr>
          <w:rFonts w:ascii="宋体" w:hAnsi="宋体"/>
          <w:sz w:val="30"/>
          <w:szCs w:val="30"/>
        </w:rPr>
        <w:t>第二章</w:t>
      </w:r>
      <w:r>
        <w:rPr>
          <w:rFonts w:hint="eastAsia" w:ascii="宋体" w:hAnsi="宋体"/>
          <w:sz w:val="30"/>
          <w:szCs w:val="30"/>
        </w:rPr>
        <w:t xml:space="preserve"> 采购需求</w:t>
      </w:r>
    </w:p>
    <w:p>
      <w:pPr>
        <w:pStyle w:val="16"/>
        <w:tabs>
          <w:tab w:val="left" w:pos="5250"/>
        </w:tabs>
        <w:spacing w:line="360" w:lineRule="auto"/>
        <w:ind w:firstLine="482" w:firstLineChars="200"/>
        <w:rPr>
          <w:rFonts w:hint="eastAsia" w:ascii="宋体" w:hAnsi="宋体"/>
          <w:b/>
          <w:sz w:val="24"/>
          <w:szCs w:val="24"/>
        </w:rPr>
      </w:pPr>
      <w:r>
        <w:rPr>
          <w:rFonts w:hint="eastAsia" w:ascii="宋体" w:hAnsi="宋体"/>
          <w:b/>
          <w:sz w:val="24"/>
          <w:szCs w:val="24"/>
        </w:rPr>
        <w:t>一、项目简介（概况）</w:t>
      </w:r>
    </w:p>
    <w:p>
      <w:pPr>
        <w:pStyle w:val="16"/>
        <w:tabs>
          <w:tab w:val="left" w:pos="5250"/>
        </w:tabs>
        <w:spacing w:line="360" w:lineRule="auto"/>
        <w:ind w:firstLine="482" w:firstLineChars="201"/>
        <w:rPr>
          <w:rFonts w:hint="eastAsia" w:ascii="宋体" w:hAnsi="宋体" w:cs="仿宋_GB2312"/>
          <w:sz w:val="24"/>
          <w:szCs w:val="24"/>
        </w:rPr>
      </w:pPr>
      <w:r>
        <w:rPr>
          <w:rFonts w:hint="eastAsia" w:ascii="宋体" w:hAnsi="宋体" w:cs="仿宋_GB2312"/>
          <w:sz w:val="24"/>
          <w:szCs w:val="24"/>
        </w:rPr>
        <w:t>为做好广州电缆厂有限公司的</w:t>
      </w:r>
      <w:r>
        <w:rPr>
          <w:rFonts w:hint="eastAsia" w:ascii="宋体" w:hAnsi="宋体" w:cs="仿宋_GB2312"/>
          <w:sz w:val="24"/>
          <w:szCs w:val="24"/>
          <w:lang w:eastAsia="zh-CN"/>
        </w:rPr>
        <w:t>芜湖仓配送工作</w:t>
      </w:r>
      <w:r>
        <w:rPr>
          <w:rFonts w:hint="eastAsia" w:ascii="宋体" w:hAnsi="宋体" w:cs="仿宋_GB2312"/>
          <w:sz w:val="24"/>
          <w:szCs w:val="24"/>
        </w:rPr>
        <w:t>，确保</w:t>
      </w:r>
      <w:r>
        <w:rPr>
          <w:rFonts w:hint="eastAsia" w:ascii="宋体" w:hAnsi="宋体" w:cs="仿宋_GB2312"/>
          <w:sz w:val="24"/>
          <w:szCs w:val="24"/>
          <w:lang w:eastAsia="zh-CN"/>
        </w:rPr>
        <w:t>运输服务质量</w:t>
      </w:r>
      <w:r>
        <w:rPr>
          <w:rFonts w:hint="eastAsia" w:ascii="宋体" w:hAnsi="宋体" w:cs="仿宋_GB2312"/>
          <w:sz w:val="24"/>
          <w:szCs w:val="24"/>
        </w:rPr>
        <w:t>，拟对广州电缆厂</w:t>
      </w:r>
      <w:r>
        <w:rPr>
          <w:rFonts w:hint="eastAsia" w:ascii="宋体" w:hAnsi="宋体" w:cs="仿宋_GB2312"/>
          <w:sz w:val="24"/>
          <w:szCs w:val="24"/>
          <w:lang w:eastAsia="zh-CN"/>
        </w:rPr>
        <w:t>芜湖仓物流运输</w:t>
      </w:r>
      <w:r>
        <w:rPr>
          <w:rFonts w:hint="eastAsia" w:ascii="宋体" w:hAnsi="宋体" w:cs="仿宋_GB2312"/>
          <w:sz w:val="24"/>
          <w:szCs w:val="24"/>
        </w:rPr>
        <w:t>采用公开招标方式进行招标。</w:t>
      </w:r>
    </w:p>
    <w:p>
      <w:pPr>
        <w:adjustRightInd w:val="0"/>
        <w:snapToGrid w:val="0"/>
        <w:spacing w:beforeLines="0" w:afterLines="0" w:line="360" w:lineRule="auto"/>
        <w:ind w:firstLine="480" w:firstLineChars="200"/>
        <w:rPr>
          <w:rFonts w:hint="eastAsia" w:ascii="宋体" w:hAnsi="宋体" w:cs="仿宋_GB2312"/>
          <w:color w:val="FF0000"/>
          <w:sz w:val="24"/>
          <w:szCs w:val="24"/>
        </w:rPr>
      </w:pPr>
      <w:r>
        <w:rPr>
          <w:rFonts w:hint="eastAsia" w:ascii="宋体" w:hAnsi="宋体" w:cs="仿宋_GB2312"/>
          <w:sz w:val="24"/>
          <w:szCs w:val="24"/>
        </w:rPr>
        <w:t>本项</w:t>
      </w:r>
      <w:r>
        <w:rPr>
          <w:rFonts w:hint="eastAsia" w:ascii="宋体" w:hAnsi="宋体" w:cs="仿宋_GB2312"/>
          <w:sz w:val="24"/>
          <w:szCs w:val="24"/>
          <w:lang w:eastAsia="zh-CN"/>
        </w:rPr>
        <w:t>运输分</w:t>
      </w:r>
      <w:r>
        <w:rPr>
          <w:rFonts w:hint="eastAsia" w:ascii="宋体" w:hAnsi="宋体" w:cs="宋体"/>
          <w:sz w:val="24"/>
          <w:szCs w:val="24"/>
        </w:rPr>
        <w:t>四部，第一部分为广州市南沙区至安徽省芜湖市整车</w:t>
      </w:r>
      <w:r>
        <w:rPr>
          <w:rFonts w:hint="eastAsia" w:ascii="宋体" w:hAnsi="宋体" w:cs="宋体"/>
          <w:sz w:val="24"/>
          <w:szCs w:val="24"/>
          <w:lang w:eastAsia="zh-CN"/>
        </w:rPr>
        <w:t>运输，</w:t>
      </w:r>
      <w:r>
        <w:rPr>
          <w:rFonts w:hint="eastAsia" w:ascii="宋体" w:hAnsi="宋体" w:cs="宋体"/>
          <w:sz w:val="24"/>
          <w:szCs w:val="24"/>
        </w:rPr>
        <w:t>第二部分为芜湖仓储，第三部分为芜湖配送费用，第</w:t>
      </w:r>
      <w:r>
        <w:rPr>
          <w:rFonts w:hint="eastAsia" w:ascii="宋体" w:hAnsi="宋体" w:cs="宋体"/>
          <w:sz w:val="24"/>
          <w:szCs w:val="24"/>
          <w:lang w:eastAsia="zh-CN"/>
        </w:rPr>
        <w:t>四</w:t>
      </w:r>
      <w:r>
        <w:rPr>
          <w:rFonts w:hint="eastAsia" w:ascii="宋体" w:hAnsi="宋体" w:cs="宋体"/>
          <w:sz w:val="24"/>
          <w:szCs w:val="24"/>
        </w:rPr>
        <w:t>段为包装材料及货物退货费用。价格为固定价包含装车、运输、卸货等一切费用，合同期内将不再变更，报价为当前税率含税价格，如税率调整运费需按税率对应点数比进行下调。</w:t>
      </w:r>
    </w:p>
    <w:p>
      <w:pPr>
        <w:pStyle w:val="16"/>
        <w:tabs>
          <w:tab w:val="left" w:pos="5250"/>
        </w:tabs>
        <w:spacing w:line="360" w:lineRule="auto"/>
        <w:ind w:firstLine="480" w:firstLineChars="200"/>
        <w:rPr>
          <w:rFonts w:hint="eastAsia" w:ascii="宋体" w:hAnsi="宋体" w:cs="仿宋_GB2312"/>
          <w:sz w:val="24"/>
          <w:szCs w:val="24"/>
        </w:rPr>
      </w:pPr>
      <w:r>
        <w:rPr>
          <w:rFonts w:hint="eastAsia" w:ascii="宋体" w:hAnsi="宋体" w:cs="仿宋_GB2312"/>
          <w:sz w:val="24"/>
          <w:szCs w:val="24"/>
        </w:rPr>
        <w:t>中标：确定</w:t>
      </w:r>
      <w:r>
        <w:rPr>
          <w:rFonts w:hint="eastAsia" w:ascii="宋体" w:hAnsi="宋体" w:cs="仿宋_GB2312"/>
          <w:sz w:val="24"/>
          <w:szCs w:val="24"/>
          <w:lang w:val="en-US" w:eastAsia="zh-CN"/>
        </w:rPr>
        <w:t>1</w:t>
      </w:r>
      <w:r>
        <w:rPr>
          <w:rFonts w:hint="eastAsia" w:ascii="宋体" w:hAnsi="宋体" w:cs="仿宋_GB2312"/>
          <w:sz w:val="24"/>
          <w:szCs w:val="24"/>
        </w:rPr>
        <w:t>家中标方</w:t>
      </w:r>
      <w:r>
        <w:rPr>
          <w:rFonts w:hint="eastAsia" w:ascii="宋体" w:hAnsi="宋体" w:cs="仿宋_GB2312"/>
          <w:sz w:val="24"/>
          <w:szCs w:val="24"/>
          <w:lang w:eastAsia="zh-CN"/>
        </w:rPr>
        <w:t>。</w:t>
      </w:r>
      <w:r>
        <w:rPr>
          <w:rFonts w:hint="eastAsia" w:ascii="宋体" w:hAnsi="宋体" w:cs="仿宋_GB2312"/>
          <w:sz w:val="24"/>
          <w:szCs w:val="24"/>
        </w:rPr>
        <w:t>（绩效考核不通过及特殊情况的，由采购人重新调整）</w:t>
      </w:r>
    </w:p>
    <w:p>
      <w:pPr>
        <w:pStyle w:val="16"/>
        <w:tabs>
          <w:tab w:val="left" w:pos="5250"/>
        </w:tabs>
        <w:spacing w:line="360" w:lineRule="auto"/>
        <w:ind w:firstLine="472" w:firstLineChars="196"/>
        <w:rPr>
          <w:rFonts w:hint="eastAsia" w:ascii="宋体" w:hAnsi="宋体" w:cs="仿宋_GB2312"/>
          <w:b/>
          <w:sz w:val="24"/>
          <w:szCs w:val="24"/>
        </w:rPr>
      </w:pPr>
      <w:r>
        <w:rPr>
          <w:rFonts w:hint="eastAsia" w:ascii="宋体" w:hAnsi="宋体" w:cs="仿宋_GB2312"/>
          <w:b/>
          <w:sz w:val="24"/>
          <w:szCs w:val="24"/>
        </w:rPr>
        <w:t>二、</w:t>
      </w:r>
      <w:r>
        <w:rPr>
          <w:rFonts w:hint="eastAsia" w:ascii="宋体" w:hAnsi="宋体" w:cs="仿宋_GB2312"/>
          <w:b/>
          <w:sz w:val="24"/>
          <w:szCs w:val="24"/>
          <w:lang w:eastAsia="zh-CN"/>
        </w:rPr>
        <w:t>运输</w:t>
      </w:r>
      <w:r>
        <w:rPr>
          <w:rFonts w:hint="eastAsia" w:ascii="宋体" w:hAnsi="宋体" w:cs="仿宋_GB2312"/>
          <w:b/>
          <w:sz w:val="24"/>
          <w:szCs w:val="24"/>
        </w:rPr>
        <w:t>情况</w:t>
      </w:r>
    </w:p>
    <w:p>
      <w:pPr>
        <w:pStyle w:val="16"/>
        <w:spacing w:line="360" w:lineRule="auto"/>
        <w:ind w:firstLine="510"/>
        <w:rPr>
          <w:rFonts w:hint="eastAsia" w:ascii="宋体" w:hAnsi="宋体" w:cs="仿宋_GB2312"/>
          <w:b/>
          <w:sz w:val="24"/>
          <w:szCs w:val="24"/>
        </w:rPr>
      </w:pPr>
      <w:r>
        <w:rPr>
          <w:rFonts w:hint="eastAsia" w:ascii="宋体" w:hAnsi="宋体" w:cs="仿宋_GB2312"/>
          <w:sz w:val="24"/>
          <w:szCs w:val="24"/>
        </w:rPr>
        <w:t>投标人为采购人提供</w:t>
      </w:r>
      <w:r>
        <w:rPr>
          <w:rFonts w:hint="eastAsia" w:ascii="宋体" w:hAnsi="宋体" w:cs="仿宋_GB2312"/>
          <w:sz w:val="24"/>
          <w:szCs w:val="24"/>
          <w:lang w:eastAsia="zh-CN"/>
        </w:rPr>
        <w:t>广州电缆厂至芜湖的整车运输服务，芜湖的仓储服务，芜湖巢湖等客户的配送服务，包装材料回收服务</w:t>
      </w:r>
      <w:r>
        <w:rPr>
          <w:rFonts w:hint="eastAsia" w:ascii="宋体" w:hAnsi="宋体" w:cs="仿宋_GB2312"/>
          <w:sz w:val="24"/>
          <w:szCs w:val="24"/>
        </w:rPr>
        <w:t>,</w:t>
      </w:r>
      <w:r>
        <w:rPr>
          <w:rFonts w:hint="eastAsia" w:ascii="宋体" w:hAnsi="宋体" w:cs="仿宋_GB2312"/>
          <w:sz w:val="24"/>
          <w:szCs w:val="24"/>
          <w:shd w:val="clear" w:color="auto" w:fill="FFFFFF"/>
        </w:rPr>
        <w:t>具</w:t>
      </w:r>
      <w:r>
        <w:rPr>
          <w:rFonts w:hint="eastAsia" w:ascii="宋体" w:hAnsi="宋体" w:cs="仿宋_GB2312"/>
          <w:sz w:val="24"/>
          <w:szCs w:val="24"/>
        </w:rPr>
        <w:t>体配送数量以实际发生的数量为准。</w:t>
      </w:r>
      <w:r>
        <w:rPr>
          <w:rFonts w:hint="eastAsia" w:ascii="宋体" w:hAnsi="宋体" w:cs="仿宋_GB2312"/>
          <w:b/>
          <w:sz w:val="24"/>
          <w:szCs w:val="24"/>
        </w:rPr>
        <w:t xml:space="preserve">    </w:t>
      </w:r>
    </w:p>
    <w:p>
      <w:pPr>
        <w:pStyle w:val="16"/>
        <w:spacing w:line="360" w:lineRule="auto"/>
        <w:ind w:firstLine="510"/>
        <w:rPr>
          <w:rFonts w:hint="eastAsia" w:ascii="宋体" w:hAnsi="宋体" w:cs="仿宋_GB2312"/>
          <w:b/>
          <w:sz w:val="24"/>
          <w:szCs w:val="24"/>
        </w:rPr>
      </w:pPr>
      <w:r>
        <w:rPr>
          <w:rFonts w:hint="eastAsia" w:ascii="宋体" w:hAnsi="宋体" w:cs="仿宋_GB2312"/>
          <w:b/>
          <w:sz w:val="24"/>
          <w:szCs w:val="24"/>
        </w:rPr>
        <w:t>三、</w:t>
      </w:r>
      <w:r>
        <w:rPr>
          <w:rFonts w:hint="eastAsia" w:ascii="宋体" w:hAnsi="宋体"/>
          <w:b/>
          <w:sz w:val="24"/>
          <w:szCs w:val="24"/>
        </w:rPr>
        <w:t>项目</w:t>
      </w:r>
      <w:r>
        <w:rPr>
          <w:rFonts w:hint="eastAsia" w:ascii="宋体" w:hAnsi="宋体" w:cs="仿宋_GB2312"/>
          <w:b/>
          <w:sz w:val="24"/>
          <w:szCs w:val="24"/>
        </w:rPr>
        <w:t>总体要求</w:t>
      </w:r>
    </w:p>
    <w:p>
      <w:pPr>
        <w:pStyle w:val="16"/>
        <w:spacing w:line="360" w:lineRule="auto"/>
        <w:ind w:firstLine="510"/>
        <w:rPr>
          <w:rFonts w:hint="eastAsia" w:ascii="宋体" w:hAnsi="宋体" w:cs="仿宋_GB2312"/>
          <w:sz w:val="24"/>
          <w:szCs w:val="24"/>
          <w:lang w:eastAsia="zh-CN"/>
        </w:rPr>
      </w:pPr>
      <w:r>
        <w:rPr>
          <w:rFonts w:hint="eastAsia" w:ascii="宋体" w:hAnsi="宋体" w:cs="仿宋_GB2312"/>
          <w:sz w:val="24"/>
          <w:szCs w:val="24"/>
        </w:rPr>
        <w:t>3.1投标人为本项目配备服务团队，其中包括：项目经理，</w:t>
      </w:r>
      <w:r>
        <w:rPr>
          <w:rFonts w:hint="eastAsia" w:ascii="宋体" w:hAnsi="宋体" w:cs="仿宋_GB2312"/>
          <w:sz w:val="24"/>
          <w:szCs w:val="24"/>
          <w:lang w:eastAsia="zh-CN"/>
        </w:rPr>
        <w:t>运输</w:t>
      </w:r>
      <w:r>
        <w:rPr>
          <w:rFonts w:hint="eastAsia" w:ascii="宋体" w:hAnsi="宋体" w:cs="仿宋_GB2312"/>
          <w:sz w:val="24"/>
          <w:szCs w:val="24"/>
        </w:rPr>
        <w:t>服务人员</w:t>
      </w:r>
      <w:r>
        <w:rPr>
          <w:rFonts w:hint="eastAsia" w:ascii="宋体" w:hAnsi="宋体" w:cs="仿宋_GB2312"/>
          <w:sz w:val="24"/>
          <w:szCs w:val="24"/>
          <w:lang w:eastAsia="zh-CN"/>
        </w:rPr>
        <w:t>，客服人员，财务对账人员。</w:t>
      </w:r>
    </w:p>
    <w:p>
      <w:pPr>
        <w:pStyle w:val="16"/>
        <w:spacing w:line="360" w:lineRule="auto"/>
        <w:ind w:firstLine="510"/>
        <w:rPr>
          <w:rFonts w:hint="default" w:ascii="宋体" w:hAnsi="宋体" w:cs="仿宋_GB2312"/>
          <w:sz w:val="24"/>
          <w:szCs w:val="24"/>
          <w:lang w:val="en-US" w:eastAsia="zh-CN"/>
        </w:rPr>
      </w:pPr>
      <w:r>
        <w:rPr>
          <w:rFonts w:hint="eastAsia" w:ascii="宋体" w:hAnsi="宋体" w:cs="仿宋_GB2312"/>
          <w:sz w:val="24"/>
          <w:szCs w:val="24"/>
        </w:rPr>
        <w:t>3.2投标人为本项目配备</w:t>
      </w:r>
      <w:r>
        <w:rPr>
          <w:rFonts w:hint="eastAsia" w:ascii="宋体" w:hAnsi="宋体" w:cs="仿宋_GB2312"/>
          <w:sz w:val="24"/>
          <w:szCs w:val="24"/>
          <w:lang w:eastAsia="zh-CN"/>
        </w:rPr>
        <w:t>仓库及车辆，</w:t>
      </w:r>
      <w:r>
        <w:rPr>
          <w:rFonts w:hint="eastAsia" w:ascii="宋体" w:hAnsi="宋体" w:cs="仿宋_GB2312"/>
          <w:sz w:val="24"/>
          <w:szCs w:val="24"/>
        </w:rPr>
        <w:t>其中包括：</w:t>
      </w:r>
      <w:r>
        <w:rPr>
          <w:rFonts w:hint="eastAsia" w:ascii="宋体" w:hAnsi="宋体" w:cs="仿宋_GB2312"/>
          <w:sz w:val="24"/>
          <w:szCs w:val="24"/>
          <w:lang w:eastAsia="zh-CN"/>
        </w:rPr>
        <w:t>在安徽芜湖设立仓库（需满足我司环保存放要求，</w:t>
      </w:r>
      <w:r>
        <w:rPr>
          <w:rFonts w:hint="eastAsia" w:ascii="宋体" w:hAnsi="宋体" w:cs="仿宋_GB2312"/>
          <w:sz w:val="24"/>
          <w:szCs w:val="24"/>
          <w:lang w:val="en-US" w:eastAsia="zh-CN"/>
        </w:rPr>
        <w:t>仓库在储存和搬运过程中不得将环保与非环保物料混放在一起，应分开储存并明确地标识与区分。环保产品储存应采用相对封闭的场所，货物不能淋湿暴晒，不能露天储存。物流需配备足够运输车辆，常用车辆为面包车及4.2米车，芜湖仓需物流配备叉车等卸货工具。)</w:t>
      </w:r>
    </w:p>
    <w:p>
      <w:pPr>
        <w:pStyle w:val="16"/>
        <w:spacing w:line="360" w:lineRule="auto"/>
        <w:ind w:firstLine="484" w:firstLineChars="202"/>
        <w:rPr>
          <w:rFonts w:hint="eastAsia" w:ascii="宋体" w:hAnsi="宋体" w:cs="仿宋_GB2312"/>
          <w:sz w:val="24"/>
          <w:szCs w:val="24"/>
          <w:lang w:eastAsia="zh-CN"/>
        </w:rPr>
      </w:pPr>
      <w:r>
        <w:rPr>
          <w:rFonts w:hint="eastAsia" w:ascii="宋体" w:hAnsi="宋体" w:cs="仿宋_GB2312"/>
          <w:sz w:val="24"/>
          <w:szCs w:val="24"/>
        </w:rPr>
        <w:t>3.</w:t>
      </w:r>
      <w:r>
        <w:rPr>
          <w:rFonts w:hint="eastAsia" w:ascii="宋体" w:hAnsi="宋体" w:cs="仿宋_GB2312"/>
          <w:sz w:val="24"/>
          <w:szCs w:val="24"/>
          <w:lang w:val="en-US" w:eastAsia="zh-CN"/>
        </w:rPr>
        <w:t>3</w:t>
      </w:r>
      <w:r>
        <w:rPr>
          <w:rFonts w:hint="eastAsia" w:ascii="宋体" w:hAnsi="宋体" w:cs="仿宋_GB2312"/>
          <w:sz w:val="24"/>
          <w:szCs w:val="24"/>
        </w:rPr>
        <w:t>采购人提前一天以</w:t>
      </w:r>
      <w:r>
        <w:rPr>
          <w:rFonts w:hint="eastAsia" w:ascii="宋体" w:hAnsi="宋体" w:cs="仿宋_GB2312"/>
          <w:sz w:val="24"/>
          <w:szCs w:val="24"/>
          <w:lang w:eastAsia="zh-CN"/>
        </w:rPr>
        <w:t>纸质单据、</w:t>
      </w:r>
      <w:r>
        <w:rPr>
          <w:rFonts w:hint="eastAsia" w:ascii="宋体" w:hAnsi="宋体" w:cs="仿宋_GB2312"/>
          <w:sz w:val="24"/>
          <w:szCs w:val="24"/>
        </w:rPr>
        <w:t>邮件、传真或电话方式</w:t>
      </w:r>
      <w:r>
        <w:rPr>
          <w:rFonts w:hint="eastAsia" w:ascii="宋体" w:hAnsi="宋体" w:cs="仿宋_GB2312"/>
          <w:sz w:val="24"/>
          <w:szCs w:val="24"/>
          <w:lang w:eastAsia="zh-CN"/>
        </w:rPr>
        <w:t>等</w:t>
      </w:r>
      <w:r>
        <w:rPr>
          <w:rFonts w:hint="eastAsia" w:ascii="宋体" w:hAnsi="宋体" w:cs="仿宋_GB2312"/>
          <w:sz w:val="24"/>
          <w:szCs w:val="24"/>
        </w:rPr>
        <w:t>向投标人下订单</w:t>
      </w:r>
      <w:r>
        <w:rPr>
          <w:rFonts w:hint="eastAsia" w:ascii="宋体" w:hAnsi="宋体" w:cs="仿宋_GB2312"/>
          <w:sz w:val="24"/>
          <w:szCs w:val="24"/>
          <w:lang w:eastAsia="zh-CN"/>
        </w:rPr>
        <w:t>。</w:t>
      </w:r>
    </w:p>
    <w:p>
      <w:pPr>
        <w:pStyle w:val="16"/>
        <w:spacing w:line="360" w:lineRule="auto"/>
        <w:ind w:firstLine="484" w:firstLineChars="202"/>
        <w:rPr>
          <w:rFonts w:hint="eastAsia" w:ascii="宋体" w:hAnsi="宋体" w:cs="仿宋_GB2312"/>
          <w:sz w:val="24"/>
          <w:szCs w:val="24"/>
          <w:lang w:val="en-US" w:eastAsia="zh-CN"/>
        </w:rPr>
      </w:pPr>
      <w:r>
        <w:rPr>
          <w:rFonts w:hint="eastAsia" w:ascii="宋体" w:hAnsi="宋体" w:cs="仿宋_GB2312"/>
          <w:sz w:val="24"/>
          <w:szCs w:val="24"/>
        </w:rPr>
        <w:t>3.</w:t>
      </w:r>
      <w:r>
        <w:rPr>
          <w:rFonts w:hint="eastAsia" w:ascii="宋体" w:hAnsi="宋体" w:cs="仿宋_GB2312"/>
          <w:sz w:val="24"/>
          <w:szCs w:val="24"/>
          <w:lang w:val="en-US" w:eastAsia="zh-CN"/>
        </w:rPr>
        <w:t>4广州电缆至芜湖仓配送，采购人下单后投标人需在4小时内安排车辆到现场进行装车，投标人提供叉车及吊车协助投标人装车，投标人负责上车后的固定工作，固定用的工具需要投标人自行负责，投标人需核对好送货清单与实物是否一致，核对无误后与采购人签字确认。</w:t>
      </w:r>
    </w:p>
    <w:p>
      <w:pPr>
        <w:pStyle w:val="16"/>
        <w:spacing w:line="360" w:lineRule="auto"/>
        <w:ind w:firstLine="484" w:firstLineChars="202"/>
        <w:rPr>
          <w:rFonts w:hint="eastAsia" w:ascii="宋体" w:hAnsi="宋体" w:cs="仿宋_GB2312"/>
          <w:sz w:val="24"/>
          <w:szCs w:val="24"/>
          <w:lang w:val="en-US" w:eastAsia="zh-CN"/>
        </w:rPr>
      </w:pPr>
      <w:r>
        <w:rPr>
          <w:rFonts w:hint="eastAsia" w:ascii="宋体" w:hAnsi="宋体" w:cs="仿宋_GB2312"/>
          <w:sz w:val="24"/>
          <w:szCs w:val="24"/>
          <w:lang w:val="en-US" w:eastAsia="zh-CN"/>
        </w:rPr>
        <w:t>3.5芜湖仓储，投标人在芜湖设立仓库，仓库要求为380平方米，仓库需要划分独立区域存放采购人货物，提供实时监控给采购人查看，收货时投标人负责货物的卸货，并按型号规格整齐摆放在仓库当中，采购人将定时派人到仓库中进行货物盘点，投标人需要做好货物保管工作。</w:t>
      </w:r>
    </w:p>
    <w:p>
      <w:pPr>
        <w:pStyle w:val="16"/>
        <w:spacing w:line="360" w:lineRule="auto"/>
        <w:ind w:firstLine="484" w:firstLineChars="202"/>
        <w:rPr>
          <w:rFonts w:hint="eastAsia" w:ascii="宋体" w:hAnsi="宋体" w:cs="仿宋_GB2312"/>
          <w:sz w:val="24"/>
          <w:szCs w:val="24"/>
          <w:lang w:val="en-US" w:eastAsia="zh-CN"/>
        </w:rPr>
      </w:pPr>
      <w:r>
        <w:rPr>
          <w:rFonts w:hint="eastAsia" w:ascii="宋体" w:hAnsi="宋体" w:cs="仿宋_GB2312"/>
          <w:sz w:val="24"/>
          <w:szCs w:val="24"/>
          <w:lang w:val="en-US" w:eastAsia="zh-CN"/>
        </w:rPr>
        <w:t>3.6芜湖仓货物配送，客户提前一天下单，投标人收到订单后，按照客户需要制作送货单并约车进行配送，投标人需要负责装车及卸货工作，投标人需按客户要求将货物卸货至要求的位置，最后签收好送货单并保存好。</w:t>
      </w:r>
    </w:p>
    <w:p>
      <w:pPr>
        <w:pStyle w:val="16"/>
        <w:spacing w:line="360" w:lineRule="auto"/>
        <w:ind w:firstLine="484" w:firstLineChars="202"/>
        <w:rPr>
          <w:rFonts w:hint="eastAsia" w:ascii="宋体" w:hAnsi="宋体" w:cs="仿宋_GB2312"/>
          <w:sz w:val="24"/>
          <w:szCs w:val="24"/>
          <w:lang w:val="en-US" w:eastAsia="zh-CN"/>
        </w:rPr>
      </w:pPr>
      <w:r>
        <w:rPr>
          <w:rFonts w:hint="eastAsia" w:ascii="宋体" w:hAnsi="宋体" w:cs="仿宋_GB2312"/>
          <w:sz w:val="24"/>
          <w:szCs w:val="24"/>
          <w:lang w:val="en-US" w:eastAsia="zh-CN"/>
        </w:rPr>
        <w:t>3.7包装材料回收，投标人给客户配送时需要将包装材料运回芜湖仓，投标人需负责包装材料运输。芜湖仓中的包装材料存储量一定量后运输回广州南沙厂区（一般存储700个0.3盘需安排车辆托运回厂）,投标人需要负责货物的装卸工作，提供送清单给采购人进行签收确认。</w:t>
      </w:r>
    </w:p>
    <w:p>
      <w:pPr>
        <w:pStyle w:val="16"/>
        <w:spacing w:line="360" w:lineRule="auto"/>
        <w:ind w:firstLine="484" w:firstLineChars="202"/>
        <w:rPr>
          <w:rFonts w:hint="default" w:ascii="宋体" w:hAnsi="宋体" w:cs="仿宋_GB2312"/>
          <w:sz w:val="24"/>
          <w:szCs w:val="24"/>
          <w:lang w:val="en-US" w:eastAsia="zh-CN"/>
        </w:rPr>
      </w:pPr>
      <w:r>
        <w:rPr>
          <w:rFonts w:hint="eastAsia" w:ascii="宋体" w:hAnsi="宋体" w:cs="仿宋_GB2312"/>
          <w:sz w:val="24"/>
          <w:szCs w:val="24"/>
          <w:lang w:val="en-US" w:eastAsia="zh-CN"/>
        </w:rPr>
        <w:t>3.8物流系统需求，投标人需提供货物查询系统给采购人，采购人可在系统中查询芜湖仓货物库存及进出库记录。</w:t>
      </w:r>
    </w:p>
    <w:p>
      <w:pPr>
        <w:pStyle w:val="16"/>
        <w:spacing w:line="360" w:lineRule="auto"/>
        <w:ind w:firstLine="484" w:firstLineChars="202"/>
        <w:rPr>
          <w:rFonts w:hint="eastAsia" w:ascii="宋体" w:hAnsi="宋体" w:eastAsia="宋体" w:cs="仿宋_GB2312"/>
          <w:sz w:val="24"/>
          <w:szCs w:val="24"/>
          <w:lang w:eastAsia="zh-CN"/>
        </w:rPr>
      </w:pPr>
      <w:r>
        <w:rPr>
          <w:rFonts w:hint="eastAsia" w:ascii="宋体" w:hAnsi="宋体" w:cs="仿宋_GB2312"/>
          <w:sz w:val="24"/>
          <w:szCs w:val="24"/>
        </w:rPr>
        <w:t>3.</w:t>
      </w:r>
      <w:r>
        <w:rPr>
          <w:rFonts w:hint="eastAsia" w:ascii="宋体" w:hAnsi="宋体" w:cs="仿宋_GB2312"/>
          <w:sz w:val="24"/>
          <w:szCs w:val="24"/>
          <w:lang w:val="en-US" w:eastAsia="zh-CN"/>
        </w:rPr>
        <w:t>9送货单要求，</w:t>
      </w:r>
      <w:r>
        <w:rPr>
          <w:rFonts w:hint="eastAsia" w:ascii="宋体" w:hAnsi="宋体" w:cs="仿宋_GB2312"/>
          <w:sz w:val="24"/>
          <w:szCs w:val="24"/>
        </w:rPr>
        <w:t>投标人每天需做好</w:t>
      </w:r>
      <w:r>
        <w:rPr>
          <w:rFonts w:hint="eastAsia" w:ascii="宋体" w:hAnsi="宋体" w:cs="仿宋_GB2312"/>
          <w:sz w:val="24"/>
          <w:szCs w:val="24"/>
          <w:lang w:eastAsia="zh-CN"/>
        </w:rPr>
        <w:t>运输单</w:t>
      </w:r>
      <w:r>
        <w:rPr>
          <w:rFonts w:hint="eastAsia" w:ascii="宋体" w:hAnsi="宋体" w:cs="仿宋_GB2312"/>
          <w:sz w:val="24"/>
          <w:szCs w:val="24"/>
        </w:rPr>
        <w:t>的记录，按采购人的要求</w:t>
      </w:r>
      <w:r>
        <w:rPr>
          <w:rFonts w:hint="eastAsia" w:ascii="宋体" w:hAnsi="宋体" w:cs="仿宋_GB2312"/>
          <w:sz w:val="24"/>
          <w:szCs w:val="24"/>
          <w:lang w:eastAsia="zh-CN"/>
        </w:rPr>
        <w:t>按时交回送货单。</w:t>
      </w:r>
    </w:p>
    <w:p>
      <w:pPr>
        <w:pStyle w:val="16"/>
        <w:tabs>
          <w:tab w:val="left" w:pos="630"/>
        </w:tabs>
        <w:spacing w:line="360" w:lineRule="auto"/>
        <w:ind w:firstLine="480" w:firstLineChars="200"/>
        <w:rPr>
          <w:rFonts w:hint="eastAsia" w:ascii="宋体" w:hAnsi="宋体" w:cs="仿宋_GB2312"/>
          <w:color w:val="auto"/>
          <w:sz w:val="24"/>
          <w:szCs w:val="24"/>
        </w:rPr>
      </w:pPr>
      <w:r>
        <w:rPr>
          <w:rFonts w:hint="eastAsia" w:ascii="宋体" w:hAnsi="宋体" w:cs="仿宋_GB2312"/>
          <w:color w:val="auto"/>
          <w:sz w:val="24"/>
          <w:szCs w:val="24"/>
        </w:rPr>
        <w:t>3.</w:t>
      </w:r>
      <w:r>
        <w:rPr>
          <w:rFonts w:hint="eastAsia" w:ascii="宋体" w:hAnsi="宋体" w:cs="仿宋_GB2312"/>
          <w:color w:val="auto"/>
          <w:sz w:val="24"/>
          <w:szCs w:val="24"/>
          <w:lang w:val="en-US" w:eastAsia="zh-CN"/>
        </w:rPr>
        <w:t>10</w:t>
      </w:r>
      <w:r>
        <w:rPr>
          <w:rFonts w:hint="eastAsia" w:ascii="宋体" w:hAnsi="宋体" w:cs="仿宋_GB2312"/>
          <w:color w:val="auto"/>
          <w:sz w:val="24"/>
          <w:szCs w:val="24"/>
        </w:rPr>
        <w:t xml:space="preserve"> 投标人必须购</w:t>
      </w:r>
      <w:r>
        <w:rPr>
          <w:rFonts w:hint="eastAsia" w:ascii="宋体" w:hAnsi="宋体" w:cs="仿宋_GB2312"/>
          <w:color w:val="auto"/>
          <w:sz w:val="24"/>
          <w:szCs w:val="24"/>
          <w:lang w:eastAsia="zh-CN"/>
        </w:rPr>
        <w:t>运输</w:t>
      </w:r>
      <w:r>
        <w:rPr>
          <w:rFonts w:hint="eastAsia" w:ascii="宋体" w:hAnsi="宋体" w:cs="仿宋_GB2312"/>
          <w:color w:val="auto"/>
          <w:sz w:val="24"/>
          <w:szCs w:val="24"/>
        </w:rPr>
        <w:t>保险</w:t>
      </w:r>
      <w:r>
        <w:rPr>
          <w:rFonts w:hint="eastAsia" w:ascii="宋体" w:hAnsi="宋体" w:cs="仿宋_GB2312"/>
          <w:color w:val="auto"/>
          <w:sz w:val="24"/>
          <w:szCs w:val="24"/>
          <w:lang w:eastAsia="zh-CN"/>
        </w:rPr>
        <w:t>，保额</w:t>
      </w:r>
      <w:r>
        <w:rPr>
          <w:rFonts w:hint="eastAsia" w:ascii="宋体" w:hAnsi="宋体" w:cs="仿宋_GB2312"/>
          <w:color w:val="auto"/>
          <w:sz w:val="24"/>
          <w:szCs w:val="24"/>
        </w:rPr>
        <w:t>金额不低于人民币</w:t>
      </w:r>
      <w:r>
        <w:rPr>
          <w:rFonts w:hint="eastAsia" w:ascii="宋体" w:hAnsi="宋体" w:cs="仿宋_GB2312"/>
          <w:color w:val="auto"/>
          <w:sz w:val="24"/>
          <w:szCs w:val="24"/>
          <w:lang w:val="en-US" w:eastAsia="zh-CN"/>
        </w:rPr>
        <w:t>5000000</w:t>
      </w:r>
      <w:r>
        <w:rPr>
          <w:rFonts w:hint="eastAsia" w:ascii="宋体" w:hAnsi="宋体" w:cs="仿宋_GB2312"/>
          <w:color w:val="auto"/>
          <w:sz w:val="24"/>
          <w:szCs w:val="24"/>
        </w:rPr>
        <w:t>元/年。</w:t>
      </w:r>
    </w:p>
    <w:p>
      <w:pPr>
        <w:pStyle w:val="16"/>
        <w:tabs>
          <w:tab w:val="left" w:pos="630"/>
        </w:tabs>
        <w:spacing w:line="360" w:lineRule="auto"/>
        <w:ind w:firstLine="480" w:firstLineChars="200"/>
        <w:rPr>
          <w:rFonts w:hint="eastAsia" w:ascii="宋体" w:hAnsi="宋体" w:cs="仿宋_GB2312"/>
          <w:sz w:val="24"/>
          <w:szCs w:val="24"/>
        </w:rPr>
      </w:pPr>
      <w:r>
        <w:rPr>
          <w:rFonts w:hint="eastAsia" w:ascii="宋体" w:hAnsi="宋体"/>
          <w:sz w:val="24"/>
          <w:szCs w:val="24"/>
        </w:rPr>
        <w:t>★</w:t>
      </w:r>
      <w:r>
        <w:rPr>
          <w:rFonts w:hint="eastAsia" w:ascii="宋体" w:hAnsi="宋体" w:cs="仿宋_GB2312"/>
          <w:sz w:val="24"/>
          <w:szCs w:val="24"/>
        </w:rPr>
        <w:t>3.</w:t>
      </w:r>
      <w:r>
        <w:rPr>
          <w:rFonts w:hint="eastAsia" w:ascii="宋体" w:hAnsi="宋体" w:cs="仿宋_GB2312"/>
          <w:sz w:val="24"/>
          <w:szCs w:val="24"/>
          <w:lang w:val="en-US" w:eastAsia="zh-CN"/>
        </w:rPr>
        <w:t>1</w:t>
      </w:r>
      <w:r>
        <w:rPr>
          <w:rFonts w:hint="eastAsia" w:ascii="宋体" w:hAnsi="宋体" w:cs="仿宋_GB2312"/>
          <w:sz w:val="24"/>
          <w:szCs w:val="24"/>
        </w:rPr>
        <w:t>1 投标人中标后，采购人将对投标人承诺事项进行核实验证，投标人须无条件按照采购人要求配合开展相关核实验证工作。</w:t>
      </w:r>
    </w:p>
    <w:p>
      <w:pPr>
        <w:pStyle w:val="16"/>
        <w:tabs>
          <w:tab w:val="left" w:pos="630"/>
        </w:tabs>
        <w:spacing w:line="360" w:lineRule="auto"/>
        <w:ind w:firstLine="482" w:firstLineChars="200"/>
        <w:rPr>
          <w:rFonts w:hint="eastAsia" w:ascii="宋体" w:hAnsi="宋体" w:cs="仿宋_GB2312"/>
          <w:b/>
          <w:bCs/>
          <w:sz w:val="24"/>
          <w:szCs w:val="24"/>
        </w:rPr>
      </w:pPr>
      <w:r>
        <w:rPr>
          <w:rFonts w:hint="eastAsia" w:ascii="宋体" w:hAnsi="宋体" w:cs="仿宋_GB2312"/>
          <w:b/>
          <w:sz w:val="24"/>
          <w:szCs w:val="24"/>
          <w:lang w:eastAsia="zh-CN"/>
        </w:rPr>
        <w:t>四</w:t>
      </w:r>
      <w:r>
        <w:rPr>
          <w:rFonts w:hint="eastAsia" w:ascii="宋体" w:hAnsi="宋体" w:cs="仿宋_GB2312"/>
          <w:b/>
          <w:sz w:val="24"/>
          <w:szCs w:val="24"/>
        </w:rPr>
        <w:t>、</w:t>
      </w:r>
      <w:r>
        <w:rPr>
          <w:rFonts w:hint="eastAsia" w:ascii="宋体" w:hAnsi="宋体" w:cs="仿宋_GB2312"/>
          <w:b/>
          <w:sz w:val="24"/>
          <w:szCs w:val="24"/>
          <w:lang w:eastAsia="zh-CN"/>
        </w:rPr>
        <w:t>运输</w:t>
      </w:r>
      <w:r>
        <w:rPr>
          <w:rFonts w:hint="eastAsia" w:ascii="宋体" w:hAnsi="宋体" w:cs="仿宋_GB2312"/>
          <w:b/>
          <w:bCs/>
          <w:sz w:val="24"/>
          <w:szCs w:val="24"/>
        </w:rPr>
        <w:t>要求：</w:t>
      </w:r>
    </w:p>
    <w:p>
      <w:pPr>
        <w:pStyle w:val="16"/>
        <w:spacing w:line="360" w:lineRule="auto"/>
        <w:ind w:firstLine="480" w:firstLineChars="200"/>
        <w:rPr>
          <w:rFonts w:hint="eastAsia" w:ascii="宋体" w:hAnsi="宋体" w:cs="仿宋_GB2312"/>
          <w:sz w:val="24"/>
          <w:szCs w:val="24"/>
        </w:rPr>
      </w:pPr>
      <w:r>
        <w:rPr>
          <w:rFonts w:hint="eastAsia" w:ascii="宋体" w:hAnsi="宋体" w:cs="仿宋_GB2312"/>
          <w:sz w:val="24"/>
          <w:szCs w:val="24"/>
          <w:lang w:val="en-US" w:eastAsia="zh-CN"/>
        </w:rPr>
        <w:t>4</w:t>
      </w:r>
      <w:r>
        <w:rPr>
          <w:rFonts w:hint="eastAsia" w:ascii="宋体" w:hAnsi="宋体" w:cs="仿宋_GB2312"/>
          <w:sz w:val="24"/>
          <w:szCs w:val="24"/>
        </w:rPr>
        <w:t>.1投标人必须按采购人订单规定的交货时间、地点，准确交货。</w:t>
      </w:r>
    </w:p>
    <w:p>
      <w:pPr>
        <w:widowControl w:val="0"/>
        <w:adjustRightInd/>
        <w:snapToGrid/>
        <w:spacing w:after="0" w:line="360" w:lineRule="auto"/>
        <w:ind w:firstLine="480" w:firstLineChars="200"/>
        <w:jc w:val="both"/>
        <w:rPr>
          <w:rFonts w:hint="default" w:ascii="宋体" w:hAnsi="宋体" w:eastAsia="宋体" w:cs="仿宋_GB2312"/>
          <w:sz w:val="24"/>
          <w:szCs w:val="24"/>
          <w:lang w:val="en-US" w:eastAsia="zh-CN"/>
        </w:rPr>
      </w:pPr>
      <w:r>
        <w:rPr>
          <w:rFonts w:hint="eastAsia" w:ascii="宋体" w:hAnsi="宋体" w:cs="仿宋_GB2312"/>
          <w:sz w:val="24"/>
          <w:szCs w:val="24"/>
          <w:lang w:val="en-US" w:eastAsia="zh-CN"/>
        </w:rPr>
        <w:t>4.2</w:t>
      </w:r>
      <w:r>
        <w:rPr>
          <w:rFonts w:hint="eastAsia" w:ascii="Times New Roman" w:hAnsi="Times New Roman" w:cs="Times New Roman"/>
          <w:kern w:val="2"/>
          <w:sz w:val="24"/>
          <w:szCs w:val="24"/>
          <w:lang w:eastAsia="zh-CN"/>
        </w:rPr>
        <w:t>运输保证不能淋湿及暴晒，</w:t>
      </w:r>
      <w:r>
        <w:rPr>
          <w:rFonts w:ascii="Times New Roman" w:hAnsi="Times New Roman"/>
          <w:kern w:val="2"/>
          <w:sz w:val="24"/>
          <w:szCs w:val="24"/>
        </w:rPr>
        <w:t>将货物安全、完整、完好地运输至目的地</w:t>
      </w:r>
      <w:r>
        <w:rPr>
          <w:rFonts w:hint="eastAsia" w:ascii="Times New Roman" w:hAnsi="Times New Roman"/>
          <w:kern w:val="2"/>
          <w:sz w:val="24"/>
          <w:szCs w:val="24"/>
          <w:lang w:eastAsia="zh-CN"/>
        </w:rPr>
        <w:t>按要求卸货摆放</w:t>
      </w:r>
      <w:r>
        <w:rPr>
          <w:rFonts w:ascii="Times New Roman" w:hAnsi="Times New Roman"/>
          <w:kern w:val="2"/>
          <w:sz w:val="24"/>
          <w:szCs w:val="24"/>
        </w:rPr>
        <w:t>，且货物包装无短缺、损坏，无人为的质变。</w:t>
      </w:r>
    </w:p>
    <w:p>
      <w:pPr>
        <w:pStyle w:val="16"/>
        <w:spacing w:line="360" w:lineRule="auto"/>
        <w:ind w:firstLine="484" w:firstLineChars="202"/>
        <w:rPr>
          <w:rFonts w:hint="eastAsia" w:ascii="宋体" w:hAnsi="宋体" w:cs="仿宋_GB2312"/>
          <w:sz w:val="24"/>
          <w:szCs w:val="24"/>
          <w:lang w:eastAsia="zh-CN"/>
        </w:rPr>
      </w:pPr>
      <w:r>
        <w:rPr>
          <w:rFonts w:hint="eastAsia" w:ascii="宋体" w:hAnsi="宋体" w:cs="仿宋_GB2312"/>
          <w:sz w:val="24"/>
          <w:szCs w:val="24"/>
          <w:lang w:val="en-US" w:eastAsia="zh-CN"/>
        </w:rPr>
        <w:t>4.3</w:t>
      </w:r>
      <w:r>
        <w:rPr>
          <w:rFonts w:hint="eastAsia" w:ascii="宋体" w:hAnsi="宋体" w:cs="仿宋_GB2312"/>
          <w:sz w:val="24"/>
          <w:szCs w:val="24"/>
          <w:lang w:eastAsia="zh-CN"/>
        </w:rPr>
        <w:t>送货单为运费结算依据，投标人需按时上交给采购人。</w:t>
      </w:r>
    </w:p>
    <w:p>
      <w:pPr>
        <w:widowControl w:val="0"/>
        <w:adjustRightInd/>
        <w:snapToGrid/>
        <w:spacing w:after="0" w:line="360" w:lineRule="auto"/>
        <w:ind w:firstLine="480" w:firstLineChars="200"/>
        <w:jc w:val="both"/>
        <w:rPr>
          <w:rFonts w:hint="eastAsia" w:ascii="宋体" w:hAnsi="宋体" w:cs="仿宋_GB2312"/>
          <w:sz w:val="24"/>
          <w:szCs w:val="24"/>
          <w:lang w:val="en-US" w:eastAsia="zh-CN"/>
        </w:rPr>
      </w:pPr>
      <w:r>
        <w:rPr>
          <w:rFonts w:hint="eastAsia" w:ascii="宋体" w:hAnsi="宋体" w:cs="仿宋_GB2312"/>
          <w:sz w:val="24"/>
          <w:szCs w:val="24"/>
          <w:lang w:val="en-US" w:eastAsia="zh-CN"/>
        </w:rPr>
        <w:t>4.4运输规范规范要求，投标人必须按照采购人《运输规范》要求进行运输进行操作。</w:t>
      </w:r>
    </w:p>
    <w:p>
      <w:pPr>
        <w:pStyle w:val="16"/>
        <w:spacing w:line="360" w:lineRule="auto"/>
        <w:rPr>
          <w:rFonts w:hint="eastAsia" w:ascii="宋体" w:hAnsi="宋体" w:cs="仿宋_GB2312"/>
          <w:b/>
          <w:sz w:val="24"/>
          <w:szCs w:val="24"/>
        </w:rPr>
      </w:pPr>
      <w:r>
        <w:rPr>
          <w:rFonts w:hint="eastAsia" w:ascii="宋体" w:hAnsi="宋体" w:cs="仿宋_GB2312"/>
          <w:b/>
          <w:sz w:val="24"/>
          <w:szCs w:val="24"/>
        </w:rPr>
        <w:t xml:space="preserve">    </w:t>
      </w:r>
      <w:r>
        <w:rPr>
          <w:rFonts w:hint="eastAsia" w:ascii="宋体" w:hAnsi="宋体" w:cs="仿宋_GB2312"/>
          <w:b/>
          <w:sz w:val="24"/>
          <w:szCs w:val="24"/>
          <w:lang w:eastAsia="zh-CN"/>
        </w:rPr>
        <w:t>五</w:t>
      </w:r>
      <w:r>
        <w:rPr>
          <w:rFonts w:hint="eastAsia" w:ascii="宋体" w:hAnsi="宋体" w:cs="仿宋_GB2312"/>
          <w:b/>
          <w:sz w:val="24"/>
          <w:szCs w:val="24"/>
        </w:rPr>
        <w:t>、</w:t>
      </w:r>
      <w:r>
        <w:rPr>
          <w:rFonts w:hint="eastAsia" w:ascii="宋体" w:hAnsi="宋体" w:cs="仿宋_GB2312"/>
          <w:b/>
          <w:sz w:val="24"/>
          <w:szCs w:val="24"/>
          <w:lang w:eastAsia="zh-CN"/>
        </w:rPr>
        <w:t>货物</w:t>
      </w:r>
      <w:r>
        <w:rPr>
          <w:rFonts w:hint="eastAsia" w:ascii="宋体" w:hAnsi="宋体" w:cs="仿宋_GB2312"/>
          <w:b/>
          <w:sz w:val="24"/>
          <w:szCs w:val="24"/>
        </w:rPr>
        <w:t>验收货检查</w:t>
      </w:r>
      <w:r>
        <w:rPr>
          <w:rFonts w:hint="eastAsia" w:ascii="宋体" w:hAnsi="宋体" w:cs="仿宋_GB2312"/>
          <w:b/>
          <w:bCs/>
          <w:sz w:val="24"/>
          <w:szCs w:val="24"/>
        </w:rPr>
        <w:t>要求：</w:t>
      </w:r>
    </w:p>
    <w:p>
      <w:pPr>
        <w:pStyle w:val="16"/>
        <w:spacing w:line="360" w:lineRule="auto"/>
        <w:ind w:firstLine="484" w:firstLineChars="202"/>
        <w:rPr>
          <w:rFonts w:hint="eastAsia" w:ascii="宋体" w:hAnsi="宋体" w:eastAsia="宋体" w:cs="仿宋_GB2312"/>
          <w:sz w:val="24"/>
          <w:szCs w:val="24"/>
          <w:lang w:eastAsia="zh-CN"/>
        </w:rPr>
      </w:pPr>
      <w:r>
        <w:rPr>
          <w:rFonts w:hint="eastAsia" w:ascii="宋体" w:hAnsi="宋体" w:cs="仿宋_GB2312"/>
          <w:sz w:val="24"/>
          <w:szCs w:val="24"/>
          <w:lang w:val="en-US" w:eastAsia="zh-CN"/>
        </w:rPr>
        <w:t>5</w:t>
      </w:r>
      <w:r>
        <w:rPr>
          <w:rFonts w:hint="eastAsia" w:ascii="宋体" w:hAnsi="宋体" w:cs="仿宋_GB2312"/>
          <w:sz w:val="24"/>
          <w:szCs w:val="24"/>
        </w:rPr>
        <w:t>.</w:t>
      </w:r>
      <w:r>
        <w:rPr>
          <w:rFonts w:hint="eastAsia" w:ascii="宋体" w:hAnsi="宋体" w:cs="仿宋_GB2312"/>
          <w:sz w:val="24"/>
          <w:szCs w:val="24"/>
          <w:lang w:val="en-US" w:eastAsia="zh-CN"/>
        </w:rPr>
        <w:t>1</w:t>
      </w:r>
      <w:r>
        <w:rPr>
          <w:rFonts w:hint="eastAsia" w:ascii="宋体" w:hAnsi="宋体" w:cs="仿宋_GB2312"/>
          <w:sz w:val="24"/>
          <w:szCs w:val="24"/>
          <w:lang w:eastAsia="zh-CN"/>
        </w:rPr>
        <w:t>出现货物破损，投标人需承担货物损失。</w:t>
      </w:r>
    </w:p>
    <w:p>
      <w:pPr>
        <w:pStyle w:val="16"/>
        <w:spacing w:line="360" w:lineRule="auto"/>
        <w:ind w:firstLine="484" w:firstLineChars="202"/>
        <w:rPr>
          <w:rFonts w:hint="eastAsia" w:ascii="宋体" w:hAnsi="宋体" w:cs="仿宋_GB2312"/>
          <w:sz w:val="24"/>
          <w:szCs w:val="24"/>
        </w:rPr>
      </w:pPr>
      <w:r>
        <w:rPr>
          <w:rFonts w:hint="eastAsia" w:ascii="宋体" w:hAnsi="宋体" w:cs="仿宋_GB2312"/>
          <w:sz w:val="24"/>
          <w:szCs w:val="24"/>
          <w:lang w:val="en-US" w:eastAsia="zh-CN"/>
        </w:rPr>
        <w:t>5</w:t>
      </w:r>
      <w:r>
        <w:rPr>
          <w:rFonts w:hint="eastAsia" w:ascii="宋体" w:hAnsi="宋体" w:cs="仿宋_GB2312"/>
          <w:sz w:val="24"/>
          <w:szCs w:val="24"/>
        </w:rPr>
        <w:t>.</w:t>
      </w:r>
      <w:r>
        <w:rPr>
          <w:rFonts w:hint="eastAsia" w:ascii="宋体" w:hAnsi="宋体" w:cs="仿宋_GB2312"/>
          <w:sz w:val="24"/>
          <w:szCs w:val="24"/>
          <w:lang w:val="en-US" w:eastAsia="zh-CN"/>
        </w:rPr>
        <w:t>2</w:t>
      </w:r>
      <w:r>
        <w:rPr>
          <w:rFonts w:hint="eastAsia" w:ascii="宋体" w:hAnsi="宋体" w:cs="仿宋_GB2312"/>
          <w:sz w:val="24"/>
          <w:szCs w:val="24"/>
        </w:rPr>
        <w:t>投标人应在送货前提前通知</w:t>
      </w:r>
      <w:r>
        <w:rPr>
          <w:rFonts w:hint="eastAsia" w:ascii="宋体" w:hAnsi="宋体" w:cs="仿宋_GB2312"/>
          <w:sz w:val="24"/>
          <w:szCs w:val="24"/>
          <w:lang w:eastAsia="zh-CN"/>
        </w:rPr>
        <w:t>客户</w:t>
      </w:r>
      <w:r>
        <w:rPr>
          <w:rFonts w:hint="eastAsia" w:ascii="宋体" w:hAnsi="宋体" w:cs="仿宋_GB2312"/>
          <w:sz w:val="24"/>
          <w:szCs w:val="24"/>
        </w:rPr>
        <w:t>送货时间，以便做好交收工作。如投标人未能按时交货的。采购人有权自行采购，并由投标人承担因此产生的一切损失和费用（包括直接经济损失和间接经济损失）。</w:t>
      </w:r>
    </w:p>
    <w:p>
      <w:pPr>
        <w:pStyle w:val="16"/>
        <w:spacing w:line="360" w:lineRule="auto"/>
        <w:ind w:firstLine="484" w:firstLineChars="202"/>
        <w:rPr>
          <w:rFonts w:hint="eastAsia" w:ascii="宋体" w:hAnsi="宋体" w:cs="仿宋_GB2312"/>
          <w:sz w:val="24"/>
          <w:szCs w:val="24"/>
        </w:rPr>
      </w:pPr>
      <w:r>
        <w:rPr>
          <w:rFonts w:hint="eastAsia" w:ascii="宋体" w:hAnsi="宋体" w:cs="仿宋_GB2312"/>
          <w:sz w:val="24"/>
          <w:szCs w:val="24"/>
          <w:lang w:val="en-US" w:eastAsia="zh-CN"/>
        </w:rPr>
        <w:t>5</w:t>
      </w:r>
      <w:r>
        <w:rPr>
          <w:rFonts w:hint="eastAsia" w:ascii="宋体" w:hAnsi="宋体" w:cs="仿宋_GB2312"/>
          <w:sz w:val="24"/>
          <w:szCs w:val="24"/>
        </w:rPr>
        <w:t>.</w:t>
      </w:r>
      <w:r>
        <w:rPr>
          <w:rFonts w:hint="eastAsia" w:ascii="宋体" w:hAnsi="宋体" w:cs="仿宋_GB2312"/>
          <w:sz w:val="24"/>
          <w:szCs w:val="24"/>
          <w:lang w:val="en-US" w:eastAsia="zh-CN"/>
        </w:rPr>
        <w:t>3</w:t>
      </w:r>
      <w:r>
        <w:rPr>
          <w:rFonts w:hint="eastAsia" w:ascii="宋体" w:hAnsi="宋体" w:cs="仿宋_GB2312"/>
          <w:sz w:val="24"/>
          <w:szCs w:val="24"/>
        </w:rPr>
        <w:t>绩效考核</w:t>
      </w:r>
    </w:p>
    <w:p>
      <w:pPr>
        <w:pStyle w:val="16"/>
        <w:spacing w:line="360" w:lineRule="auto"/>
        <w:ind w:firstLine="484" w:firstLineChars="202"/>
        <w:rPr>
          <w:rFonts w:hint="eastAsia" w:ascii="宋体" w:hAnsi="宋体" w:cs="仿宋_GB2312"/>
          <w:sz w:val="24"/>
          <w:szCs w:val="24"/>
        </w:rPr>
      </w:pPr>
      <w:r>
        <w:rPr>
          <w:rFonts w:hint="eastAsia" w:ascii="宋体" w:hAnsi="宋体" w:cs="仿宋_GB2312"/>
          <w:sz w:val="24"/>
          <w:szCs w:val="24"/>
        </w:rPr>
        <w:t>采购人每</w:t>
      </w:r>
      <w:r>
        <w:rPr>
          <w:rFonts w:hint="eastAsia" w:ascii="宋体" w:hAnsi="宋体" w:cs="仿宋_GB2312"/>
          <w:sz w:val="24"/>
          <w:szCs w:val="24"/>
          <w:lang w:eastAsia="zh-CN"/>
        </w:rPr>
        <w:t>月</w:t>
      </w:r>
      <w:r>
        <w:rPr>
          <w:rFonts w:hint="eastAsia" w:ascii="宋体" w:hAnsi="宋体" w:cs="仿宋_GB2312"/>
          <w:sz w:val="24"/>
          <w:szCs w:val="24"/>
        </w:rPr>
        <w:t>对中标人的进行绩效考核，考核不达标，采购人可以终止合同</w:t>
      </w:r>
      <w:r>
        <w:rPr>
          <w:rFonts w:hint="eastAsia" w:ascii="宋体" w:hAnsi="宋体" w:cs="仿宋_GB2312"/>
          <w:sz w:val="24"/>
          <w:szCs w:val="24"/>
          <w:lang w:eastAsia="zh-CN"/>
        </w:rPr>
        <w:t>并扣除保证金</w:t>
      </w:r>
      <w:r>
        <w:rPr>
          <w:rFonts w:hint="eastAsia" w:ascii="宋体" w:hAnsi="宋体" w:cs="仿宋_GB2312"/>
          <w:sz w:val="24"/>
          <w:szCs w:val="24"/>
        </w:rPr>
        <w:t>。</w:t>
      </w:r>
    </w:p>
    <w:p>
      <w:pPr>
        <w:pStyle w:val="16"/>
        <w:spacing w:line="360" w:lineRule="auto"/>
        <w:rPr>
          <w:rFonts w:hint="eastAsia" w:ascii="宋体" w:hAnsi="宋体" w:cs="仿宋_GB2312"/>
          <w:b/>
          <w:sz w:val="24"/>
          <w:szCs w:val="24"/>
        </w:rPr>
      </w:pPr>
      <w:r>
        <w:rPr>
          <w:rFonts w:hint="eastAsia" w:ascii="宋体" w:hAnsi="宋体" w:cs="仿宋_GB2312"/>
          <w:b/>
          <w:sz w:val="24"/>
          <w:szCs w:val="24"/>
        </w:rPr>
        <w:t xml:space="preserve">    </w:t>
      </w:r>
      <w:r>
        <w:rPr>
          <w:rFonts w:hint="eastAsia" w:ascii="宋体" w:hAnsi="宋体" w:cs="仿宋_GB2312"/>
          <w:b/>
          <w:sz w:val="24"/>
          <w:szCs w:val="24"/>
          <w:lang w:eastAsia="zh-CN"/>
        </w:rPr>
        <w:t>六</w:t>
      </w:r>
      <w:r>
        <w:rPr>
          <w:rFonts w:hint="eastAsia" w:ascii="宋体" w:hAnsi="宋体" w:cs="仿宋_GB2312"/>
          <w:b/>
          <w:sz w:val="24"/>
          <w:szCs w:val="24"/>
        </w:rPr>
        <w:t>、定价方式</w:t>
      </w:r>
      <w:r>
        <w:rPr>
          <w:rFonts w:hint="eastAsia" w:ascii="宋体" w:hAnsi="宋体" w:cs="仿宋_GB2312"/>
          <w:b/>
          <w:bCs/>
          <w:sz w:val="24"/>
          <w:szCs w:val="24"/>
        </w:rPr>
        <w:t>要求：</w:t>
      </w:r>
    </w:p>
    <w:p>
      <w:pPr>
        <w:pStyle w:val="16"/>
        <w:spacing w:line="360" w:lineRule="auto"/>
        <w:ind w:firstLine="484" w:firstLineChars="202"/>
        <w:rPr>
          <w:rFonts w:hint="eastAsia" w:ascii="宋体" w:hAnsi="宋体" w:eastAsia="宋体" w:cs="仿宋_GB2312"/>
          <w:sz w:val="24"/>
          <w:szCs w:val="24"/>
          <w:lang w:eastAsia="zh-CN"/>
        </w:rPr>
      </w:pPr>
      <w:r>
        <w:rPr>
          <w:rFonts w:hint="eastAsia" w:ascii="宋体" w:hAnsi="宋体" w:cs="仿宋_GB2312"/>
          <w:sz w:val="24"/>
          <w:szCs w:val="24"/>
          <w:lang w:val="en-US" w:eastAsia="zh-CN"/>
        </w:rPr>
        <w:t>6</w:t>
      </w:r>
      <w:r>
        <w:rPr>
          <w:rFonts w:hint="eastAsia" w:ascii="宋体" w:hAnsi="宋体" w:cs="仿宋_GB2312"/>
          <w:sz w:val="24"/>
          <w:szCs w:val="24"/>
        </w:rPr>
        <w:t>.1</w:t>
      </w:r>
      <w:r>
        <w:rPr>
          <w:rFonts w:hint="eastAsia" w:ascii="宋体" w:hAnsi="宋体" w:cs="仿宋_GB2312"/>
          <w:sz w:val="24"/>
          <w:szCs w:val="24"/>
          <w:lang w:eastAsia="zh-CN"/>
        </w:rPr>
        <w:t>按照合同格式进行报价</w:t>
      </w:r>
    </w:p>
    <w:p>
      <w:pPr>
        <w:pStyle w:val="16"/>
        <w:spacing w:line="360" w:lineRule="auto"/>
        <w:rPr>
          <w:rFonts w:hint="eastAsia" w:ascii="宋体" w:hAnsi="宋体" w:cs="仿宋_GB2312"/>
          <w:b/>
          <w:sz w:val="24"/>
          <w:szCs w:val="24"/>
        </w:rPr>
      </w:pPr>
      <w:r>
        <w:rPr>
          <w:rFonts w:hint="eastAsia" w:ascii="宋体" w:hAnsi="宋体" w:cs="仿宋_GB2312"/>
          <w:b/>
          <w:sz w:val="24"/>
          <w:szCs w:val="24"/>
        </w:rPr>
        <w:t xml:space="preserve">    </w:t>
      </w:r>
      <w:r>
        <w:rPr>
          <w:rFonts w:hint="eastAsia" w:ascii="宋体" w:hAnsi="宋体" w:cs="仿宋_GB2312"/>
          <w:b/>
          <w:sz w:val="24"/>
          <w:szCs w:val="24"/>
          <w:lang w:eastAsia="zh-CN"/>
        </w:rPr>
        <w:t>七</w:t>
      </w:r>
      <w:r>
        <w:rPr>
          <w:rFonts w:hint="eastAsia" w:ascii="宋体" w:hAnsi="宋体" w:cs="仿宋_GB2312"/>
          <w:b/>
          <w:sz w:val="24"/>
          <w:szCs w:val="24"/>
        </w:rPr>
        <w:t>、付款方式</w:t>
      </w:r>
    </w:p>
    <w:p>
      <w:pPr>
        <w:pStyle w:val="16"/>
        <w:spacing w:line="360" w:lineRule="auto"/>
        <w:ind w:firstLine="484" w:firstLineChars="202"/>
        <w:rPr>
          <w:rFonts w:hint="eastAsia" w:ascii="宋体" w:hAnsi="宋体" w:cs="仿宋_GB2312"/>
          <w:sz w:val="24"/>
          <w:szCs w:val="24"/>
        </w:rPr>
      </w:pPr>
      <w:r>
        <w:rPr>
          <w:rFonts w:hint="eastAsia" w:ascii="宋体" w:hAnsi="宋体" w:cs="仿宋_GB2312"/>
          <w:sz w:val="24"/>
          <w:szCs w:val="24"/>
          <w:lang w:val="en-US" w:eastAsia="zh-CN"/>
        </w:rPr>
        <w:t>7</w:t>
      </w:r>
      <w:r>
        <w:rPr>
          <w:rFonts w:hint="eastAsia" w:ascii="宋体" w:hAnsi="宋体" w:cs="仿宋_GB2312"/>
          <w:sz w:val="24"/>
          <w:szCs w:val="24"/>
        </w:rPr>
        <w:t>.1货款按月结算，在办理付款手续之前双方须对</w:t>
      </w:r>
      <w:r>
        <w:rPr>
          <w:rFonts w:hint="eastAsia" w:ascii="宋体" w:hAnsi="宋体" w:cs="仿宋_GB2312"/>
          <w:sz w:val="24"/>
          <w:szCs w:val="24"/>
          <w:lang w:eastAsia="zh-CN"/>
        </w:rPr>
        <w:t>运输量</w:t>
      </w:r>
      <w:r>
        <w:rPr>
          <w:rFonts w:hint="eastAsia" w:ascii="宋体" w:hAnsi="宋体" w:cs="仿宋_GB2312"/>
          <w:sz w:val="24"/>
          <w:szCs w:val="24"/>
        </w:rPr>
        <w:t>、单价、金额等进行统计，并核实无误。</w:t>
      </w:r>
    </w:p>
    <w:p>
      <w:pPr>
        <w:pStyle w:val="16"/>
        <w:spacing w:line="360" w:lineRule="auto"/>
        <w:ind w:firstLine="484" w:firstLineChars="202"/>
        <w:rPr>
          <w:rFonts w:hint="eastAsia" w:ascii="宋体" w:hAnsi="宋体" w:cs="仿宋_GB2312"/>
          <w:color w:val="auto"/>
          <w:sz w:val="24"/>
          <w:szCs w:val="24"/>
        </w:rPr>
      </w:pPr>
      <w:r>
        <w:rPr>
          <w:rFonts w:hint="eastAsia" w:ascii="宋体" w:hAnsi="宋体" w:cs="仿宋_GB2312"/>
          <w:sz w:val="24"/>
          <w:szCs w:val="24"/>
          <w:lang w:val="en-US" w:eastAsia="zh-CN"/>
        </w:rPr>
        <w:t>7</w:t>
      </w:r>
      <w:r>
        <w:rPr>
          <w:rFonts w:hint="eastAsia" w:ascii="宋体" w:hAnsi="宋体" w:cs="仿宋_GB2312"/>
          <w:sz w:val="24"/>
          <w:szCs w:val="24"/>
        </w:rPr>
        <w:t>.2投标人在完成当月</w:t>
      </w:r>
      <w:r>
        <w:rPr>
          <w:rFonts w:hint="eastAsia" w:ascii="宋体" w:hAnsi="宋体" w:cs="仿宋_GB2312"/>
          <w:sz w:val="24"/>
          <w:szCs w:val="24"/>
          <w:lang w:eastAsia="zh-CN"/>
        </w:rPr>
        <w:t>运输</w:t>
      </w:r>
      <w:r>
        <w:rPr>
          <w:rFonts w:hint="eastAsia" w:ascii="宋体" w:hAnsi="宋体" w:cs="仿宋_GB2312"/>
          <w:sz w:val="24"/>
          <w:szCs w:val="24"/>
        </w:rPr>
        <w:t>后，于次月10日前凭国家增值税发票向采购人申请付款，</w:t>
      </w:r>
      <w:r>
        <w:rPr>
          <w:rFonts w:hint="eastAsia" w:ascii="宋体" w:hAnsi="宋体" w:cs="仿宋_GB2312"/>
          <w:color w:val="auto"/>
          <w:sz w:val="24"/>
          <w:szCs w:val="24"/>
        </w:rPr>
        <w:t>采购人收到发票后在</w:t>
      </w:r>
      <w:r>
        <w:rPr>
          <w:rFonts w:hint="eastAsia" w:ascii="宋体" w:hAnsi="宋体" w:cs="仿宋_GB2312"/>
          <w:color w:val="auto"/>
          <w:sz w:val="24"/>
          <w:szCs w:val="24"/>
          <w:lang w:val="en-US" w:eastAsia="zh-CN"/>
        </w:rPr>
        <w:t>90天</w:t>
      </w:r>
      <w:r>
        <w:rPr>
          <w:rFonts w:hint="eastAsia" w:ascii="宋体" w:hAnsi="宋体" w:cs="仿宋_GB2312"/>
          <w:color w:val="auto"/>
          <w:sz w:val="24"/>
          <w:szCs w:val="24"/>
        </w:rPr>
        <w:t>内办理支付手续。</w:t>
      </w:r>
    </w:p>
    <w:p>
      <w:pPr>
        <w:pStyle w:val="16"/>
        <w:spacing w:line="360" w:lineRule="auto"/>
        <w:ind w:firstLine="482" w:firstLineChars="200"/>
        <w:rPr>
          <w:rFonts w:hint="eastAsia" w:ascii="宋体" w:hAnsi="宋体" w:cs="仿宋_GB2312"/>
          <w:b/>
          <w:sz w:val="24"/>
          <w:szCs w:val="24"/>
        </w:rPr>
      </w:pPr>
      <w:r>
        <w:rPr>
          <w:rFonts w:hint="eastAsia" w:ascii="宋体" w:hAnsi="宋体" w:cs="仿宋_GB2312"/>
          <w:b/>
          <w:sz w:val="24"/>
          <w:szCs w:val="24"/>
          <w:lang w:eastAsia="zh-CN"/>
        </w:rPr>
        <w:t>八</w:t>
      </w:r>
      <w:r>
        <w:rPr>
          <w:rFonts w:hint="eastAsia" w:ascii="宋体" w:hAnsi="宋体" w:cs="仿宋_GB2312"/>
          <w:b/>
          <w:sz w:val="24"/>
          <w:szCs w:val="24"/>
        </w:rPr>
        <w:t>、违约责任</w:t>
      </w:r>
    </w:p>
    <w:p>
      <w:pPr>
        <w:pStyle w:val="16"/>
        <w:spacing w:line="360" w:lineRule="auto"/>
        <w:ind w:firstLine="484" w:firstLineChars="202"/>
        <w:rPr>
          <w:rFonts w:hint="eastAsia" w:ascii="宋体" w:hAnsi="宋体" w:cs="仿宋_GB2312"/>
          <w:sz w:val="24"/>
          <w:szCs w:val="24"/>
        </w:rPr>
      </w:pPr>
      <w:r>
        <w:rPr>
          <w:rFonts w:hint="eastAsia" w:ascii="宋体" w:hAnsi="宋体" w:cs="仿宋_GB2312"/>
          <w:sz w:val="24"/>
          <w:szCs w:val="24"/>
        </w:rPr>
        <w:t>9.1投标人配送服务与招标文件需求书和合同条款要求不一致、不按要求配送，</w:t>
      </w:r>
      <w:r>
        <w:rPr>
          <w:rFonts w:hint="eastAsia" w:ascii="宋体" w:hAnsi="宋体" w:cs="仿宋_GB2312"/>
          <w:sz w:val="24"/>
          <w:szCs w:val="24"/>
          <w:lang w:eastAsia="zh-CN"/>
        </w:rPr>
        <w:t>带来的损失</w:t>
      </w:r>
      <w:r>
        <w:rPr>
          <w:rFonts w:hint="eastAsia" w:ascii="宋体" w:hAnsi="宋体" w:cs="宋体"/>
          <w:sz w:val="24"/>
          <w:szCs w:val="24"/>
        </w:rPr>
        <w:t>采购人有权</w:t>
      </w:r>
      <w:r>
        <w:rPr>
          <w:rFonts w:hint="eastAsia" w:ascii="宋体" w:hAnsi="宋体" w:cs="宋体"/>
          <w:sz w:val="24"/>
          <w:szCs w:val="24"/>
          <w:lang w:eastAsia="zh-CN"/>
        </w:rPr>
        <w:t>向投标人追责</w:t>
      </w:r>
      <w:r>
        <w:rPr>
          <w:rFonts w:hint="eastAsia" w:ascii="宋体" w:hAnsi="宋体" w:cs="宋体"/>
          <w:sz w:val="24"/>
          <w:szCs w:val="24"/>
        </w:rPr>
        <w:t>。</w:t>
      </w:r>
      <w:r>
        <w:rPr>
          <w:rFonts w:hint="eastAsia" w:ascii="宋体" w:hAnsi="宋体" w:cs="仿宋_GB2312"/>
          <w:sz w:val="24"/>
          <w:szCs w:val="24"/>
        </w:rPr>
        <w:t>采购人有权无条件终止本合同，因此产生的一切损失和相关法律责任由投标人全部承担。</w:t>
      </w:r>
    </w:p>
    <w:p>
      <w:pPr>
        <w:pStyle w:val="16"/>
        <w:spacing w:line="360" w:lineRule="auto"/>
        <w:ind w:firstLine="484" w:firstLineChars="202"/>
        <w:rPr>
          <w:rFonts w:hint="eastAsia" w:ascii="宋体" w:hAnsi="宋体" w:cs="仿宋_GB2312"/>
          <w:sz w:val="24"/>
          <w:szCs w:val="24"/>
        </w:rPr>
      </w:pPr>
      <w:r>
        <w:rPr>
          <w:rFonts w:hint="eastAsia" w:ascii="宋体" w:hAnsi="宋体" w:cs="仿宋_GB2312"/>
          <w:sz w:val="24"/>
          <w:szCs w:val="24"/>
        </w:rPr>
        <w:t>9.2投标人</w:t>
      </w:r>
      <w:r>
        <w:rPr>
          <w:rFonts w:hint="eastAsia" w:ascii="宋体" w:hAnsi="宋体"/>
          <w:sz w:val="24"/>
          <w:szCs w:val="24"/>
        </w:rPr>
        <w:t>不得将本合同项下的服务内容整体或部分以任何形式转包或分包给任何第三方，</w:t>
      </w:r>
      <w:r>
        <w:rPr>
          <w:rFonts w:hint="eastAsia" w:ascii="宋体" w:hAnsi="宋体" w:cs="仿宋_GB2312"/>
          <w:sz w:val="24"/>
          <w:szCs w:val="24"/>
        </w:rPr>
        <w:t>因此产生的一切损失和相关法律责任由投标人全部承担。</w:t>
      </w:r>
    </w:p>
    <w:p>
      <w:pPr>
        <w:pStyle w:val="16"/>
        <w:spacing w:line="360" w:lineRule="auto"/>
        <w:ind w:firstLine="484" w:firstLineChars="202"/>
        <w:rPr>
          <w:rFonts w:hint="eastAsia" w:ascii="宋体" w:hAnsi="宋体" w:cs="仿宋_GB2312"/>
          <w:sz w:val="24"/>
          <w:szCs w:val="24"/>
        </w:rPr>
      </w:pPr>
      <w:r>
        <w:rPr>
          <w:rFonts w:hint="eastAsia" w:ascii="宋体" w:hAnsi="宋体" w:cs="仿宋_GB2312"/>
          <w:sz w:val="24"/>
          <w:szCs w:val="24"/>
        </w:rPr>
        <w:t>9.</w:t>
      </w:r>
      <w:r>
        <w:rPr>
          <w:rFonts w:hint="eastAsia" w:ascii="宋体" w:hAnsi="宋体" w:cs="仿宋_GB2312"/>
          <w:sz w:val="24"/>
          <w:szCs w:val="24"/>
          <w:lang w:val="en-US" w:eastAsia="zh-CN"/>
        </w:rPr>
        <w:t>3</w:t>
      </w:r>
      <w:r>
        <w:rPr>
          <w:rFonts w:hint="eastAsia" w:ascii="宋体" w:hAnsi="宋体" w:cs="仿宋_GB2312"/>
          <w:sz w:val="24"/>
          <w:szCs w:val="24"/>
        </w:rPr>
        <w:t>采购人如果发现不符合规定要求，采购人给予书面警告，投标人要</w:t>
      </w:r>
      <w:r>
        <w:rPr>
          <w:rFonts w:hint="eastAsia" w:ascii="宋体" w:hAnsi="宋体" w:cs="仿宋_GB2312"/>
          <w:sz w:val="24"/>
          <w:szCs w:val="24"/>
          <w:lang w:eastAsia="zh-CN"/>
        </w:rPr>
        <w:t>及时回应并做好补救工作</w:t>
      </w:r>
      <w:r>
        <w:rPr>
          <w:rFonts w:hint="eastAsia" w:ascii="宋体" w:hAnsi="宋体" w:cs="仿宋_GB2312"/>
          <w:sz w:val="24"/>
          <w:szCs w:val="24"/>
        </w:rPr>
        <w:t>。因此产生的一切损失和相关法律责任由投标人全部承担。</w:t>
      </w:r>
    </w:p>
    <w:p>
      <w:pPr>
        <w:pStyle w:val="16"/>
        <w:spacing w:line="360" w:lineRule="auto"/>
        <w:ind w:firstLine="484" w:firstLineChars="202"/>
        <w:rPr>
          <w:rFonts w:hint="eastAsia" w:ascii="宋体" w:hAnsi="宋体"/>
        </w:rPr>
      </w:pPr>
      <w:r>
        <w:rPr>
          <w:rFonts w:hint="eastAsia" w:ascii="宋体" w:hAnsi="宋体" w:cs="仿宋_GB2312"/>
          <w:sz w:val="24"/>
          <w:szCs w:val="24"/>
        </w:rPr>
        <w:t>9.</w:t>
      </w:r>
      <w:r>
        <w:rPr>
          <w:rFonts w:hint="eastAsia" w:ascii="宋体" w:hAnsi="宋体" w:cs="仿宋_GB2312"/>
          <w:sz w:val="24"/>
          <w:szCs w:val="24"/>
          <w:lang w:val="en-US" w:eastAsia="zh-CN"/>
        </w:rPr>
        <w:t>4</w:t>
      </w:r>
      <w:r>
        <w:rPr>
          <w:rFonts w:hint="eastAsia" w:ascii="宋体" w:hAnsi="宋体" w:cs="仿宋_GB2312"/>
          <w:sz w:val="24"/>
          <w:szCs w:val="24"/>
        </w:rPr>
        <w:t>投标人因延误交货日期的（采购人要求推迟的除外），采购人有权自行采购，并由投标人承担由此产生的一切损失和费用。</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pPr>
        <w:pStyle w:val="3"/>
        <w:pageBreakBefore/>
        <w:spacing w:before="200" w:after="200" w:line="360" w:lineRule="auto"/>
        <w:jc w:val="center"/>
        <w:rPr>
          <w:rFonts w:hint="eastAsia" w:ascii="宋体" w:hAnsi="宋体"/>
          <w:sz w:val="24"/>
          <w:szCs w:val="24"/>
        </w:rPr>
      </w:pPr>
      <w:bookmarkStart w:id="199" w:name="_Toc403491566"/>
      <w:r>
        <w:rPr>
          <w:rFonts w:hint="eastAsia" w:ascii="宋体" w:hAnsi="宋体"/>
          <w:sz w:val="30"/>
          <w:szCs w:val="30"/>
        </w:rPr>
        <w:t>第三章 合同格式</w:t>
      </w:r>
      <w:bookmarkEnd w:id="199"/>
    </w:p>
    <w:p>
      <w:pPr>
        <w:rPr>
          <w:rFonts w:hint="eastAsia" w:ascii="宋体" w:hAnsi="宋体"/>
        </w:rPr>
      </w:pPr>
      <w:bookmarkStart w:id="200" w:name="EB96da972056de4385935c5eeed9aedf73"/>
      <w:r>
        <w:rPr>
          <w:rFonts w:hint="eastAsia" w:ascii="宋体" w:hAnsi="宋体"/>
        </w:rPr>
        <w:t>（后续采购人、中标人自行协商拟定）</w:t>
      </w:r>
    </w:p>
    <w:bookmarkEnd w:id="200"/>
    <w:p>
      <w:pPr>
        <w:jc w:val="center"/>
        <w:rPr>
          <w:rFonts w:hint="eastAsia" w:ascii="宋体" w:hAnsi="宋体"/>
          <w:b/>
          <w:bCs/>
          <w:sz w:val="30"/>
          <w:szCs w:val="30"/>
        </w:rPr>
      </w:pPr>
      <w:bookmarkStart w:id="201" w:name="_Toc101775126"/>
      <w:bookmarkStart w:id="202" w:name="_Toc46308526"/>
      <w:bookmarkStart w:id="203" w:name="_Toc41884700"/>
      <w:bookmarkStart w:id="204" w:name="_Toc403491567"/>
      <w:bookmarkStart w:id="205" w:name="_Toc98579005"/>
      <w:bookmarkStart w:id="206" w:name="_Toc50276194"/>
      <w:bookmarkStart w:id="207" w:name="_Toc98579063"/>
      <w:bookmarkStart w:id="208" w:name="_Toc98035087"/>
      <w:bookmarkStart w:id="209" w:name="_Toc46308682"/>
      <w:bookmarkStart w:id="210" w:name="_Toc42394667"/>
      <w:bookmarkStart w:id="211" w:name="_Toc101951264"/>
      <w:bookmarkStart w:id="212" w:name="_Toc42313166"/>
      <w:bookmarkStart w:id="213" w:name="_Toc41723930"/>
      <w:bookmarkStart w:id="214" w:name="_Toc101771373"/>
      <w:bookmarkStart w:id="215" w:name="_Toc98579604"/>
      <w:bookmarkStart w:id="216" w:name="_Toc42394511"/>
      <w:bookmarkStart w:id="217" w:name="_Toc175644395"/>
      <w:bookmarkStart w:id="218" w:name="_Toc401575151"/>
      <w:bookmarkStart w:id="219" w:name="_Toc50276151"/>
      <w:bookmarkStart w:id="220" w:name="_Toc101843126"/>
      <w:bookmarkStart w:id="221" w:name="_Toc98580287"/>
      <w:bookmarkStart w:id="222" w:name="_Toc41884707"/>
      <w:bookmarkStart w:id="223" w:name="_Toc50276205"/>
      <w:bookmarkStart w:id="224" w:name="_Toc42394674"/>
      <w:bookmarkStart w:id="225" w:name="_Toc46308532"/>
      <w:bookmarkStart w:id="226" w:name="_Toc46308688"/>
      <w:bookmarkStart w:id="227" w:name="_Toc98580294"/>
      <w:bookmarkStart w:id="228" w:name="_Toc98035090"/>
      <w:bookmarkStart w:id="229" w:name="_Toc98579611"/>
      <w:bookmarkStart w:id="230" w:name="_Toc41723937"/>
      <w:bookmarkStart w:id="231" w:name="_Toc42394518"/>
      <w:bookmarkStart w:id="232" w:name="_Toc98579012"/>
      <w:bookmarkStart w:id="233" w:name="_Toc42313173"/>
      <w:bookmarkStart w:id="234" w:name="_Toc98579070"/>
      <w:bookmarkStart w:id="235" w:name="_Toc50276166"/>
      <w:r>
        <w:rPr>
          <w:rFonts w:hint="eastAsia" w:ascii="宋体" w:hAnsi="宋体"/>
          <w:b/>
          <w:bCs/>
          <w:sz w:val="30"/>
          <w:szCs w:val="30"/>
        </w:rPr>
        <w:t>第四章 开标、评标和定标</w:t>
      </w:r>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pPr>
        <w:numPr>
          <w:ilvl w:val="0"/>
          <w:numId w:val="6"/>
        </w:numPr>
        <w:spacing w:line="360" w:lineRule="auto"/>
        <w:ind w:left="567" w:hanging="27"/>
        <w:outlineLvl w:val="1"/>
        <w:rPr>
          <w:rFonts w:hint="eastAsia" w:ascii="宋体" w:hAnsi="宋体"/>
          <w:b/>
          <w:bCs/>
          <w:sz w:val="24"/>
          <w:szCs w:val="24"/>
        </w:rPr>
      </w:pPr>
      <w:bookmarkStart w:id="236" w:name="_Toc42329464"/>
      <w:bookmarkStart w:id="237" w:name="_Toc101951265"/>
      <w:bookmarkStart w:id="238" w:name="_Toc42394512"/>
      <w:bookmarkStart w:id="239" w:name="_Toc101771374"/>
      <w:bookmarkStart w:id="240" w:name="_Toc42315985"/>
      <w:bookmarkStart w:id="241" w:name="_Toc101775127"/>
      <w:bookmarkStart w:id="242" w:name="_Toc403491568"/>
      <w:bookmarkStart w:id="243" w:name="_Toc101843127"/>
      <w:bookmarkStart w:id="244" w:name="_Toc42316808"/>
      <w:bookmarkStart w:id="245" w:name="_Toc401575152"/>
      <w:bookmarkStart w:id="246" w:name="_Toc42315183"/>
      <w:bookmarkStart w:id="247" w:name="_Toc42394668"/>
      <w:bookmarkStart w:id="248" w:name="_Toc42394513"/>
      <w:bookmarkStart w:id="249" w:name="_Toc98579606"/>
      <w:bookmarkStart w:id="250" w:name="_Toc98579007"/>
      <w:bookmarkStart w:id="251" w:name="_Toc42394669"/>
      <w:bookmarkStart w:id="252" w:name="_Toc98580289"/>
      <w:bookmarkStart w:id="253" w:name="_Toc50276153"/>
      <w:bookmarkStart w:id="254" w:name="_Toc98579065"/>
      <w:bookmarkStart w:id="255" w:name="_Toc41884701"/>
      <w:bookmarkStart w:id="256" w:name="_Toc41723931"/>
      <w:bookmarkStart w:id="257" w:name="_Toc42313167"/>
      <w:r>
        <w:rPr>
          <w:rFonts w:hint="eastAsia" w:ascii="宋体" w:hAnsi="宋体"/>
          <w:b/>
          <w:sz w:val="24"/>
          <w:szCs w:val="24"/>
        </w:rPr>
        <w:t>开标</w:t>
      </w:r>
      <w:bookmarkEnd w:id="236"/>
      <w:bookmarkEnd w:id="237"/>
      <w:bookmarkEnd w:id="238"/>
      <w:bookmarkEnd w:id="239"/>
      <w:bookmarkEnd w:id="240"/>
      <w:bookmarkEnd w:id="241"/>
      <w:bookmarkEnd w:id="242"/>
      <w:bookmarkEnd w:id="243"/>
      <w:bookmarkEnd w:id="244"/>
      <w:bookmarkEnd w:id="245"/>
      <w:bookmarkEnd w:id="246"/>
      <w:bookmarkEnd w:id="247"/>
    </w:p>
    <w:p>
      <w:pPr>
        <w:numPr>
          <w:ilvl w:val="1"/>
          <w:numId w:val="7"/>
        </w:numPr>
        <w:spacing w:line="360" w:lineRule="auto"/>
        <w:ind w:left="0" w:firstLine="425"/>
        <w:rPr>
          <w:rFonts w:hint="eastAsia" w:ascii="宋体" w:hAnsi="宋体" w:cs="Arial"/>
          <w:sz w:val="24"/>
          <w:szCs w:val="24"/>
        </w:rPr>
      </w:pPr>
      <w:r>
        <w:rPr>
          <w:rFonts w:hint="eastAsia" w:ascii="宋体" w:hAnsi="宋体" w:cs="Arial"/>
          <w:sz w:val="24"/>
          <w:szCs w:val="24"/>
        </w:rPr>
        <w:t>不举行现场公开唱标。由采购人内部组织相关部门共同开标（有监督部门）</w:t>
      </w:r>
    </w:p>
    <w:p>
      <w:pPr>
        <w:numPr>
          <w:ilvl w:val="0"/>
          <w:numId w:val="6"/>
        </w:numPr>
        <w:spacing w:line="360" w:lineRule="auto"/>
        <w:ind w:left="567" w:hanging="27"/>
        <w:outlineLvl w:val="1"/>
        <w:rPr>
          <w:rFonts w:hint="eastAsia" w:ascii="宋体" w:hAnsi="宋体"/>
          <w:b/>
          <w:sz w:val="24"/>
          <w:szCs w:val="24"/>
        </w:rPr>
      </w:pPr>
      <w:bookmarkStart w:id="258" w:name="_Toc101843128"/>
      <w:bookmarkStart w:id="259" w:name="_Toc101775128"/>
      <w:bookmarkStart w:id="260" w:name="_Toc101771375"/>
      <w:bookmarkStart w:id="261" w:name="_Toc101951266"/>
      <w:bookmarkStart w:id="262" w:name="_Toc403491569"/>
      <w:bookmarkStart w:id="263" w:name="_Toc401575153"/>
      <w:r>
        <w:rPr>
          <w:rFonts w:hint="eastAsia" w:ascii="宋体" w:hAnsi="宋体"/>
          <w:b/>
          <w:sz w:val="24"/>
          <w:szCs w:val="24"/>
        </w:rPr>
        <w:t>评标</w:t>
      </w:r>
      <w:bookmarkEnd w:id="248"/>
      <w:bookmarkEnd w:id="249"/>
      <w:bookmarkEnd w:id="250"/>
      <w:bookmarkEnd w:id="251"/>
      <w:bookmarkEnd w:id="252"/>
      <w:bookmarkEnd w:id="253"/>
      <w:bookmarkEnd w:id="254"/>
      <w:bookmarkEnd w:id="258"/>
      <w:bookmarkEnd w:id="259"/>
      <w:bookmarkEnd w:id="260"/>
      <w:bookmarkEnd w:id="261"/>
      <w:r>
        <w:rPr>
          <w:rFonts w:hint="eastAsia" w:ascii="宋体" w:hAnsi="宋体"/>
          <w:b/>
          <w:sz w:val="24"/>
          <w:szCs w:val="24"/>
        </w:rPr>
        <w:t>委员会</w:t>
      </w:r>
      <w:bookmarkEnd w:id="262"/>
      <w:bookmarkEnd w:id="263"/>
    </w:p>
    <w:p>
      <w:pPr>
        <w:numPr>
          <w:ilvl w:val="1"/>
          <w:numId w:val="8"/>
        </w:numPr>
        <w:spacing w:line="360" w:lineRule="auto"/>
        <w:ind w:left="0" w:firstLine="425"/>
        <w:rPr>
          <w:rFonts w:hint="eastAsia" w:ascii="宋体" w:hAnsi="宋体"/>
          <w:sz w:val="24"/>
          <w:szCs w:val="24"/>
        </w:rPr>
      </w:pPr>
      <w:r>
        <w:rPr>
          <w:rFonts w:hint="eastAsia" w:ascii="宋体" w:hAnsi="宋体"/>
          <w:sz w:val="24"/>
          <w:szCs w:val="24"/>
        </w:rPr>
        <w:t>评标委员会由采购人相关部门的代表共同评标。评标委员会将本着公平、公正、科学、择优的原则，严格按照法律法规和招标文件设定的程序和规则推荐评审结果，任何单位和个人不得非法干预或者影响评标过程和结果。</w:t>
      </w:r>
    </w:p>
    <w:p>
      <w:pPr>
        <w:numPr>
          <w:ilvl w:val="1"/>
          <w:numId w:val="8"/>
        </w:numPr>
        <w:spacing w:line="360" w:lineRule="auto"/>
        <w:ind w:left="0" w:firstLine="425"/>
        <w:rPr>
          <w:rFonts w:hint="eastAsia" w:ascii="宋体" w:hAnsi="宋体"/>
          <w:sz w:val="24"/>
          <w:szCs w:val="24"/>
        </w:rPr>
      </w:pPr>
      <w:r>
        <w:rPr>
          <w:rFonts w:hint="eastAsia"/>
          <w:sz w:val="24"/>
          <w:szCs w:val="24"/>
        </w:rPr>
        <w:t>评标委员会成员</w:t>
      </w:r>
      <w:r>
        <w:rPr>
          <w:rFonts w:hint="eastAsia" w:ascii="宋体" w:hAnsi="宋体"/>
          <w:sz w:val="24"/>
          <w:szCs w:val="24"/>
        </w:rPr>
        <w:t>发现本人与参加采购活动的供应商有利害关系之一的，应当主动提出回避。采购人或者采购代理机构发现</w:t>
      </w:r>
      <w:r>
        <w:rPr>
          <w:rFonts w:hint="eastAsia"/>
          <w:sz w:val="24"/>
          <w:szCs w:val="24"/>
        </w:rPr>
        <w:t>评标委员会成员</w:t>
      </w:r>
      <w:r>
        <w:rPr>
          <w:rFonts w:hint="eastAsia" w:ascii="宋体" w:hAnsi="宋体"/>
          <w:sz w:val="24"/>
          <w:szCs w:val="24"/>
        </w:rPr>
        <w:t>与参加采购活动的供应商利害关系之一的，应当要求其回避：</w:t>
      </w:r>
    </w:p>
    <w:p>
      <w:pPr>
        <w:numPr>
          <w:ilvl w:val="0"/>
          <w:numId w:val="9"/>
        </w:numPr>
        <w:tabs>
          <w:tab w:val="left" w:pos="0"/>
          <w:tab w:val="clear" w:pos="1496"/>
        </w:tabs>
        <w:spacing w:line="360" w:lineRule="auto"/>
        <w:ind w:left="0" w:firstLine="426"/>
        <w:rPr>
          <w:rStyle w:val="15"/>
          <w:rFonts w:hint="eastAsia" w:ascii="宋体" w:hAnsi="宋体"/>
          <w:sz w:val="24"/>
          <w:szCs w:val="24"/>
        </w:rPr>
      </w:pPr>
      <w:r>
        <w:rPr>
          <w:rStyle w:val="15"/>
          <w:rFonts w:hint="eastAsia"/>
          <w:sz w:val="24"/>
          <w:szCs w:val="24"/>
        </w:rPr>
        <w:t>参加采购活动前三年内，与供应商存在劳动关系，或者担任过供应商的董事、监事，或者是供应商的控股股东或实际控制人</w:t>
      </w:r>
      <w:r>
        <w:rPr>
          <w:rStyle w:val="15"/>
          <w:rFonts w:hint="eastAsia" w:ascii="宋体" w:hAnsi="宋体"/>
          <w:sz w:val="24"/>
          <w:szCs w:val="24"/>
        </w:rPr>
        <w:t>；</w:t>
      </w:r>
    </w:p>
    <w:p>
      <w:pPr>
        <w:numPr>
          <w:ilvl w:val="0"/>
          <w:numId w:val="9"/>
        </w:numPr>
        <w:tabs>
          <w:tab w:val="left" w:pos="0"/>
          <w:tab w:val="clear" w:pos="1496"/>
        </w:tabs>
        <w:spacing w:line="360" w:lineRule="auto"/>
        <w:ind w:left="0" w:firstLine="426"/>
        <w:rPr>
          <w:rStyle w:val="15"/>
          <w:rFonts w:hint="eastAsia" w:ascii="宋体" w:hAnsi="宋体"/>
          <w:sz w:val="24"/>
          <w:szCs w:val="24"/>
        </w:rPr>
      </w:pPr>
      <w:r>
        <w:rPr>
          <w:rStyle w:val="15"/>
          <w:rFonts w:hint="eastAsia"/>
          <w:sz w:val="24"/>
          <w:szCs w:val="24"/>
        </w:rPr>
        <w:t>与供应商的法定代表人或者负责人有夫妻、直系血亲、三代以内旁系血亲或者近姻亲关系；</w:t>
      </w:r>
    </w:p>
    <w:p>
      <w:pPr>
        <w:numPr>
          <w:ilvl w:val="0"/>
          <w:numId w:val="9"/>
        </w:numPr>
        <w:tabs>
          <w:tab w:val="left" w:pos="0"/>
          <w:tab w:val="clear" w:pos="1496"/>
        </w:tabs>
        <w:spacing w:line="360" w:lineRule="auto"/>
        <w:ind w:left="0" w:firstLine="426"/>
        <w:rPr>
          <w:rStyle w:val="15"/>
          <w:rFonts w:hint="eastAsia" w:ascii="宋体" w:hAnsi="宋体"/>
          <w:sz w:val="24"/>
          <w:szCs w:val="24"/>
        </w:rPr>
      </w:pPr>
      <w:r>
        <w:rPr>
          <w:rStyle w:val="15"/>
          <w:rFonts w:hint="eastAsia" w:ascii="宋体" w:hAnsi="宋体"/>
          <w:sz w:val="24"/>
          <w:szCs w:val="24"/>
        </w:rPr>
        <w:t>任职单位与采购人或参加该采购项目供应商存在行政隶属关系；</w:t>
      </w:r>
    </w:p>
    <w:p>
      <w:pPr>
        <w:numPr>
          <w:ilvl w:val="0"/>
          <w:numId w:val="9"/>
        </w:numPr>
        <w:tabs>
          <w:tab w:val="left" w:pos="0"/>
          <w:tab w:val="clear" w:pos="1496"/>
        </w:tabs>
        <w:spacing w:line="360" w:lineRule="auto"/>
        <w:ind w:left="0" w:firstLine="426"/>
        <w:rPr>
          <w:rStyle w:val="15"/>
          <w:rFonts w:hint="eastAsia" w:ascii="宋体" w:hAnsi="宋体"/>
          <w:sz w:val="24"/>
          <w:szCs w:val="24"/>
        </w:rPr>
      </w:pPr>
      <w:r>
        <w:rPr>
          <w:rStyle w:val="15"/>
          <w:rFonts w:hint="eastAsia"/>
          <w:sz w:val="24"/>
          <w:szCs w:val="24"/>
        </w:rPr>
        <w:t>曾经参加过该采购项目的进口产品或采购文件、采购需求、采购方式的论证和咨询</w:t>
      </w:r>
      <w:r>
        <w:rPr>
          <w:rStyle w:val="15"/>
          <w:rFonts w:hint="eastAsia" w:ascii="宋体" w:hAnsi="宋体"/>
          <w:sz w:val="24"/>
          <w:szCs w:val="24"/>
        </w:rPr>
        <w:t>服务工作；</w:t>
      </w:r>
    </w:p>
    <w:p>
      <w:pPr>
        <w:numPr>
          <w:ilvl w:val="0"/>
          <w:numId w:val="9"/>
        </w:numPr>
        <w:tabs>
          <w:tab w:val="left" w:pos="0"/>
          <w:tab w:val="clear" w:pos="1496"/>
        </w:tabs>
        <w:spacing w:line="360" w:lineRule="auto"/>
        <w:ind w:left="0" w:firstLine="426"/>
        <w:rPr>
          <w:rStyle w:val="15"/>
          <w:rFonts w:hint="eastAsia" w:ascii="宋体" w:hAnsi="宋体"/>
          <w:sz w:val="24"/>
          <w:szCs w:val="24"/>
        </w:rPr>
      </w:pPr>
      <w:r>
        <w:rPr>
          <w:rStyle w:val="15"/>
          <w:rFonts w:hint="eastAsia" w:ascii="宋体" w:hAnsi="宋体"/>
          <w:sz w:val="24"/>
          <w:szCs w:val="24"/>
        </w:rPr>
        <w:t>是参加该采购项目供应商的上级主管部门、控股或参股单位的工作人员，或与该供应商存在其他经济利益关系；</w:t>
      </w:r>
    </w:p>
    <w:p>
      <w:pPr>
        <w:numPr>
          <w:ilvl w:val="0"/>
          <w:numId w:val="9"/>
        </w:numPr>
        <w:tabs>
          <w:tab w:val="left" w:pos="0"/>
          <w:tab w:val="clear" w:pos="1496"/>
        </w:tabs>
        <w:spacing w:line="360" w:lineRule="auto"/>
        <w:ind w:left="0" w:firstLine="426"/>
        <w:rPr>
          <w:rStyle w:val="15"/>
          <w:rFonts w:hint="eastAsia" w:ascii="宋体" w:hAnsi="宋体"/>
          <w:sz w:val="24"/>
          <w:szCs w:val="24"/>
        </w:rPr>
      </w:pPr>
      <w:r>
        <w:rPr>
          <w:rFonts w:hint="eastAsia" w:ascii="宋体" w:hAnsi="宋体"/>
          <w:sz w:val="24"/>
          <w:szCs w:val="24"/>
        </w:rPr>
        <w:t>评标委员会</w:t>
      </w:r>
      <w:r>
        <w:rPr>
          <w:rStyle w:val="15"/>
          <w:rFonts w:hint="eastAsia" w:ascii="宋体" w:hAnsi="宋体"/>
          <w:sz w:val="24"/>
          <w:szCs w:val="24"/>
        </w:rPr>
        <w:t>成员之间具有配偶、近亲属关系；</w:t>
      </w:r>
    </w:p>
    <w:p>
      <w:pPr>
        <w:numPr>
          <w:ilvl w:val="0"/>
          <w:numId w:val="9"/>
        </w:numPr>
        <w:tabs>
          <w:tab w:val="left" w:pos="0"/>
          <w:tab w:val="clear" w:pos="1496"/>
        </w:tabs>
        <w:spacing w:line="360" w:lineRule="auto"/>
        <w:ind w:left="0" w:firstLine="426"/>
        <w:rPr>
          <w:rStyle w:val="15"/>
          <w:rFonts w:hint="eastAsia" w:ascii="宋体" w:hAnsi="宋体"/>
          <w:sz w:val="24"/>
          <w:szCs w:val="24"/>
        </w:rPr>
      </w:pPr>
      <w:r>
        <w:rPr>
          <w:rStyle w:val="15"/>
          <w:rFonts w:hint="eastAsia" w:ascii="宋体" w:hAnsi="宋体"/>
          <w:sz w:val="24"/>
          <w:szCs w:val="24"/>
        </w:rPr>
        <w:t>法律、法规、规章规定应当回避以及</w:t>
      </w:r>
      <w:r>
        <w:rPr>
          <w:rStyle w:val="15"/>
          <w:rFonts w:hint="eastAsia"/>
          <w:sz w:val="24"/>
          <w:szCs w:val="24"/>
        </w:rPr>
        <w:t>其他可能影响采购活动公平、公正进行的关系</w:t>
      </w:r>
    </w:p>
    <w:p>
      <w:pPr>
        <w:numPr>
          <w:ilvl w:val="1"/>
          <w:numId w:val="8"/>
        </w:numPr>
        <w:spacing w:line="360" w:lineRule="auto"/>
        <w:ind w:left="0" w:firstLine="425"/>
        <w:rPr>
          <w:rFonts w:hint="eastAsia" w:ascii="宋体" w:hAnsi="宋体"/>
          <w:sz w:val="24"/>
          <w:szCs w:val="24"/>
        </w:rPr>
      </w:pPr>
      <w:r>
        <w:rPr>
          <w:rFonts w:hint="eastAsia" w:ascii="宋体" w:hAnsi="宋体"/>
          <w:sz w:val="24"/>
          <w:szCs w:val="24"/>
        </w:rPr>
        <w:t>评标委员会判断投标文件的有效性、合格性和响应情况，仅依据投标人所提交一切文件的真实表述，不受与本项目无直接关联的外部信息、传言而影响自身的专业判断。</w:t>
      </w:r>
    </w:p>
    <w:p>
      <w:pPr>
        <w:numPr>
          <w:ilvl w:val="1"/>
          <w:numId w:val="8"/>
        </w:numPr>
        <w:spacing w:line="360" w:lineRule="auto"/>
        <w:ind w:left="0" w:firstLine="425"/>
        <w:rPr>
          <w:rFonts w:hint="eastAsia" w:ascii="宋体" w:hAnsi="宋体"/>
          <w:sz w:val="24"/>
          <w:szCs w:val="24"/>
        </w:rPr>
      </w:pPr>
      <w:r>
        <w:rPr>
          <w:rFonts w:hint="eastAsia" w:ascii="宋体" w:hAnsi="宋体"/>
          <w:sz w:val="24"/>
          <w:szCs w:val="24"/>
        </w:rPr>
        <w:t>评标委员会各成员应当独立对每个投标人的投标文件进行评价，并对评价意见承担个人责任。评标委员会成员对需要共同认定的事项存在争议的，应当按照少数服从多数的原则作出结论。持不同意见的评标委员会成员应当在评标报告上签署不同意见及理由，否则视为同意评标报告。</w:t>
      </w:r>
    </w:p>
    <w:p>
      <w:pPr>
        <w:spacing w:line="360" w:lineRule="auto"/>
        <w:rPr>
          <w:rFonts w:hint="eastAsia" w:ascii="宋体" w:hAnsi="宋体"/>
          <w:sz w:val="24"/>
          <w:szCs w:val="24"/>
        </w:rPr>
      </w:pPr>
    </w:p>
    <w:p>
      <w:pPr>
        <w:numPr>
          <w:ilvl w:val="0"/>
          <w:numId w:val="6"/>
        </w:numPr>
        <w:spacing w:line="360" w:lineRule="auto"/>
        <w:ind w:left="567" w:hanging="27"/>
        <w:outlineLvl w:val="1"/>
        <w:rPr>
          <w:rFonts w:hint="eastAsia" w:ascii="宋体" w:hAnsi="宋体"/>
          <w:b/>
          <w:sz w:val="24"/>
        </w:rPr>
      </w:pPr>
      <w:bookmarkStart w:id="264" w:name="_Toc403491570"/>
      <w:bookmarkStart w:id="265" w:name="_Toc401575154"/>
      <w:r>
        <w:rPr>
          <w:rFonts w:hint="eastAsia" w:ascii="宋体" w:hAnsi="宋体"/>
          <w:b/>
          <w:sz w:val="24"/>
        </w:rPr>
        <w:t>评标方法</w:t>
      </w:r>
      <w:bookmarkEnd w:id="264"/>
      <w:bookmarkEnd w:id="265"/>
    </w:p>
    <w:p>
      <w:pPr>
        <w:numPr>
          <w:ilvl w:val="1"/>
          <w:numId w:val="10"/>
        </w:numPr>
        <w:spacing w:line="360" w:lineRule="auto"/>
        <w:ind w:left="0" w:firstLine="425"/>
        <w:rPr>
          <w:rFonts w:hint="eastAsia" w:ascii="宋体" w:hAnsi="宋体"/>
          <w:sz w:val="24"/>
          <w:szCs w:val="24"/>
        </w:rPr>
      </w:pPr>
      <w:bookmarkStart w:id="266" w:name="EB7884e410a3964767ae21e9a364dce159"/>
      <w:r>
        <w:rPr>
          <w:rFonts w:hint="eastAsia" w:ascii="宋体" w:hAnsi="宋体"/>
          <w:sz w:val="24"/>
          <w:szCs w:val="24"/>
        </w:rPr>
        <w:t>分值设定</w:t>
      </w:r>
    </w:p>
    <w:tbl>
      <w:tblPr>
        <w:tblStyle w:val="14"/>
        <w:tblW w:w="8970" w:type="dxa"/>
        <w:tblCellSpacing w:w="15" w:type="dxa"/>
        <w:tblInd w:w="0" w:type="dxa"/>
        <w:tblLayout w:type="fixed"/>
        <w:tblCellMar>
          <w:top w:w="15" w:type="dxa"/>
          <w:left w:w="15" w:type="dxa"/>
          <w:bottom w:w="15" w:type="dxa"/>
          <w:right w:w="15" w:type="dxa"/>
        </w:tblCellMar>
      </w:tblPr>
      <w:tblGrid>
        <w:gridCol w:w="8970"/>
      </w:tblGrid>
      <w:tr>
        <w:tblPrEx>
          <w:tblLayout w:type="fixed"/>
          <w:tblCellMar>
            <w:top w:w="15" w:type="dxa"/>
            <w:left w:w="15" w:type="dxa"/>
            <w:bottom w:w="15" w:type="dxa"/>
            <w:right w:w="15" w:type="dxa"/>
          </w:tblCellMar>
        </w:tblPrEx>
        <w:trPr>
          <w:tblCellSpacing w:w="15" w:type="dxa"/>
        </w:trPr>
        <w:tc>
          <w:tcPr>
            <w:tcW w:w="8910" w:type="dxa"/>
            <w:vAlign w:val="center"/>
          </w:tcPr>
          <w:p>
            <w:pPr>
              <w:pStyle w:val="7"/>
              <w:spacing w:after="100" w:afterAutospacing="1"/>
              <w:jc w:val="left"/>
              <w:rPr>
                <w:color w:val="auto"/>
              </w:rPr>
            </w:pPr>
            <w:r>
              <w:rPr>
                <w:rFonts w:hAnsi="宋体"/>
                <w:color w:val="auto"/>
                <w:sz w:val="24"/>
              </w:rPr>
              <w:t>本次评标采用综合评分法。评标以招标文件规定的条件为依据。评分比重构成如下：</w:t>
            </w:r>
          </w:p>
          <w:tbl>
            <w:tblPr>
              <w:tblStyle w:val="14"/>
              <w:tblW w:w="8864" w:type="dxa"/>
              <w:tblInd w:w="1"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689"/>
              <w:gridCol w:w="1689"/>
              <w:gridCol w:w="1690"/>
              <w:gridCol w:w="1690"/>
              <w:gridCol w:w="2106"/>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689"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评分项目</w:t>
                  </w:r>
                </w:p>
              </w:tc>
              <w:tc>
                <w:tcPr>
                  <w:tcW w:w="1689"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技术评分</w:t>
                  </w:r>
                </w:p>
              </w:tc>
              <w:tc>
                <w:tcPr>
                  <w:tcW w:w="1690"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商务评分</w:t>
                  </w:r>
                </w:p>
              </w:tc>
              <w:tc>
                <w:tcPr>
                  <w:tcW w:w="1690"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价格评分</w:t>
                  </w:r>
                </w:p>
              </w:tc>
              <w:tc>
                <w:tcPr>
                  <w:tcW w:w="2106"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评价</w:t>
                  </w:r>
                  <w:r>
                    <w:rPr>
                      <w:rFonts w:hint="eastAsia" w:ascii="宋体" w:hAnsi="宋体" w:cs="宋体"/>
                      <w:sz w:val="24"/>
                    </w:rPr>
                    <w:t>总</w:t>
                  </w:r>
                  <w:r>
                    <w:rPr>
                      <w:rFonts w:ascii="宋体" w:hAnsi="宋体" w:cs="宋体"/>
                      <w:sz w:val="24"/>
                    </w:rPr>
                    <w:t>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689"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分值</w:t>
                  </w:r>
                </w:p>
              </w:tc>
              <w:tc>
                <w:tcPr>
                  <w:tcW w:w="1689" w:type="dxa"/>
                  <w:tcBorders>
                    <w:top w:val="outset" w:color="auto" w:sz="6" w:space="0"/>
                    <w:left w:val="outset" w:color="auto" w:sz="6" w:space="0"/>
                    <w:bottom w:val="outset" w:color="auto" w:sz="6" w:space="0"/>
                    <w:right w:val="outset" w:color="auto" w:sz="6" w:space="0"/>
                  </w:tcBorders>
                  <w:vAlign w:val="center"/>
                </w:tcPr>
                <w:p>
                  <w:pPr>
                    <w:jc w:val="center"/>
                  </w:pPr>
                  <w:r>
                    <w:rPr>
                      <w:rFonts w:hint="eastAsia" w:ascii="宋体" w:hAnsi="宋体" w:cs="宋体"/>
                      <w:sz w:val="24"/>
                      <w:lang w:val="en-US" w:eastAsia="zh-CN"/>
                    </w:rPr>
                    <w:t>3</w:t>
                  </w:r>
                  <w:r>
                    <w:rPr>
                      <w:rFonts w:hint="eastAsia" w:ascii="宋体" w:hAnsi="宋体" w:cs="宋体"/>
                      <w:sz w:val="24"/>
                    </w:rPr>
                    <w:t>0</w:t>
                  </w:r>
                  <w:r>
                    <w:rPr>
                      <w:rFonts w:ascii="宋体" w:hAnsi="宋体" w:cs="宋体"/>
                      <w:sz w:val="24"/>
                    </w:rPr>
                    <w:t>分</w:t>
                  </w:r>
                </w:p>
              </w:tc>
              <w:tc>
                <w:tcPr>
                  <w:tcW w:w="1690" w:type="dxa"/>
                  <w:tcBorders>
                    <w:top w:val="outset" w:color="auto" w:sz="6" w:space="0"/>
                    <w:left w:val="outset" w:color="auto" w:sz="6" w:space="0"/>
                    <w:bottom w:val="outset" w:color="auto" w:sz="6" w:space="0"/>
                    <w:right w:val="outset" w:color="auto" w:sz="6" w:space="0"/>
                  </w:tcBorders>
                  <w:vAlign w:val="center"/>
                </w:tcPr>
                <w:p>
                  <w:pPr>
                    <w:jc w:val="center"/>
                  </w:pPr>
                  <w:r>
                    <w:rPr>
                      <w:rFonts w:hint="eastAsia" w:ascii="宋体" w:hAnsi="宋体" w:cs="宋体"/>
                      <w:sz w:val="24"/>
                      <w:lang w:val="en-US" w:eastAsia="zh-CN"/>
                    </w:rPr>
                    <w:t>2</w:t>
                  </w:r>
                  <w:r>
                    <w:rPr>
                      <w:rFonts w:ascii="宋体" w:hAnsi="宋体" w:cs="宋体"/>
                      <w:sz w:val="24"/>
                    </w:rPr>
                    <w:t>0分</w:t>
                  </w:r>
                </w:p>
              </w:tc>
              <w:tc>
                <w:tcPr>
                  <w:tcW w:w="1690" w:type="dxa"/>
                  <w:tcBorders>
                    <w:top w:val="outset" w:color="auto" w:sz="6" w:space="0"/>
                    <w:left w:val="outset" w:color="auto" w:sz="6" w:space="0"/>
                    <w:bottom w:val="outset" w:color="auto" w:sz="6" w:space="0"/>
                    <w:right w:val="outset" w:color="auto" w:sz="6" w:space="0"/>
                  </w:tcBorders>
                  <w:vAlign w:val="center"/>
                </w:tcPr>
                <w:p>
                  <w:pPr>
                    <w:jc w:val="center"/>
                  </w:pPr>
                  <w:r>
                    <w:rPr>
                      <w:rFonts w:hint="eastAsia" w:ascii="宋体" w:hAnsi="宋体" w:cs="宋体"/>
                      <w:sz w:val="24"/>
                      <w:lang w:val="en-US" w:eastAsia="zh-CN"/>
                    </w:rPr>
                    <w:t>5</w:t>
                  </w:r>
                  <w:r>
                    <w:rPr>
                      <w:rFonts w:ascii="宋体" w:hAnsi="宋体" w:cs="宋体"/>
                      <w:sz w:val="24"/>
                    </w:rPr>
                    <w:t>0分</w:t>
                  </w:r>
                </w:p>
              </w:tc>
              <w:tc>
                <w:tcPr>
                  <w:tcW w:w="2106" w:type="dxa"/>
                  <w:tcBorders>
                    <w:top w:val="outset" w:color="auto" w:sz="6" w:space="0"/>
                    <w:left w:val="outset" w:color="auto" w:sz="6" w:space="0"/>
                    <w:bottom w:val="outset" w:color="auto" w:sz="6" w:space="0"/>
                    <w:right w:val="outset" w:color="auto" w:sz="6" w:space="0"/>
                  </w:tcBorders>
                  <w:vAlign w:val="center"/>
                </w:tcPr>
                <w:p>
                  <w:pPr>
                    <w:jc w:val="center"/>
                  </w:pPr>
                  <w:r>
                    <w:rPr>
                      <w:rFonts w:hint="eastAsia" w:ascii="宋体" w:hAnsi="宋体" w:cs="宋体"/>
                      <w:sz w:val="24"/>
                    </w:rPr>
                    <w:t>100</w:t>
                  </w:r>
                  <w:r>
                    <w:rPr>
                      <w:rFonts w:ascii="宋体" w:hAnsi="宋体" w:cs="宋体"/>
                      <w:sz w:val="24"/>
                    </w:rPr>
                    <w:t>分</w:t>
                  </w:r>
                </w:p>
              </w:tc>
            </w:tr>
          </w:tbl>
          <w:p/>
        </w:tc>
      </w:tr>
    </w:tbl>
    <w:p>
      <w:pPr>
        <w:rPr>
          <w:rFonts w:hint="eastAsia" w:ascii="宋体" w:hAnsi="宋体"/>
          <w:sz w:val="24"/>
          <w:szCs w:val="24"/>
        </w:rPr>
      </w:pPr>
      <w:r>
        <w:rPr>
          <w:rFonts w:hint="eastAsia" w:ascii="宋体" w:hAnsi="宋体"/>
          <w:sz w:val="24"/>
          <w:szCs w:val="24"/>
        </w:rPr>
        <w:t xml:space="preserve"> </w:t>
      </w:r>
      <w:bookmarkEnd w:id="266"/>
    </w:p>
    <w:p>
      <w:pPr>
        <w:numPr>
          <w:ilvl w:val="1"/>
          <w:numId w:val="10"/>
        </w:numPr>
        <w:spacing w:line="360" w:lineRule="auto"/>
        <w:ind w:left="0" w:firstLine="480" w:firstLineChars="200"/>
        <w:rPr>
          <w:rFonts w:hint="eastAsia" w:ascii="宋体" w:hAnsi="宋体"/>
          <w:sz w:val="24"/>
          <w:szCs w:val="24"/>
        </w:rPr>
      </w:pPr>
      <w:bookmarkStart w:id="267" w:name="_Toc101843129"/>
      <w:bookmarkStart w:id="268" w:name="_Toc101775129"/>
      <w:bookmarkStart w:id="269" w:name="_Toc101951267"/>
      <w:bookmarkStart w:id="270" w:name="_Toc101771376"/>
      <w:r>
        <w:rPr>
          <w:rFonts w:hint="eastAsia" w:ascii="宋体" w:hAnsi="宋体"/>
          <w:sz w:val="24"/>
          <w:szCs w:val="24"/>
        </w:rPr>
        <w:t>投标文件差异修正原则</w:t>
      </w:r>
    </w:p>
    <w:p>
      <w:pPr>
        <w:spacing w:line="360" w:lineRule="auto"/>
        <w:ind w:firstLine="480" w:firstLineChars="200"/>
        <w:rPr>
          <w:rFonts w:hint="eastAsia" w:ascii="宋体" w:hAnsi="宋体"/>
          <w:sz w:val="24"/>
          <w:szCs w:val="24"/>
          <w:lang w:val="en-GB"/>
        </w:rPr>
      </w:pPr>
      <w:r>
        <w:rPr>
          <w:rFonts w:hint="eastAsia" w:ascii="宋体" w:hAnsi="宋体"/>
          <w:sz w:val="24"/>
          <w:szCs w:val="24"/>
          <w:lang w:val="en-GB"/>
        </w:rPr>
        <w:t>投标文件报价出现前后不一致的，按照下列规定修正：</w:t>
      </w:r>
    </w:p>
    <w:p>
      <w:pPr>
        <w:numPr>
          <w:ilvl w:val="0"/>
          <w:numId w:val="11"/>
        </w:numPr>
        <w:spacing w:line="360" w:lineRule="auto"/>
        <w:ind w:firstLine="480" w:firstLineChars="200"/>
        <w:rPr>
          <w:rFonts w:hint="eastAsia" w:ascii="宋体" w:hAnsi="宋体"/>
          <w:sz w:val="24"/>
          <w:szCs w:val="24"/>
          <w:lang w:val="en-GB"/>
        </w:rPr>
      </w:pPr>
      <w:r>
        <w:rPr>
          <w:rFonts w:hint="eastAsia" w:ascii="宋体" w:hAnsi="宋体"/>
          <w:sz w:val="24"/>
          <w:szCs w:val="24"/>
          <w:lang w:val="en-GB"/>
        </w:rPr>
        <w:t>投标文件中开标一览表（报价表）内容与投标文件中相应内容不一致的，以开标一览表（报价表）为准；</w:t>
      </w:r>
    </w:p>
    <w:p>
      <w:pPr>
        <w:numPr>
          <w:ilvl w:val="0"/>
          <w:numId w:val="11"/>
        </w:numPr>
        <w:spacing w:line="360" w:lineRule="auto"/>
        <w:ind w:firstLine="480" w:firstLineChars="200"/>
        <w:rPr>
          <w:rFonts w:hint="eastAsia" w:ascii="宋体" w:hAnsi="宋体"/>
          <w:sz w:val="24"/>
          <w:szCs w:val="24"/>
          <w:lang w:val="en-GB"/>
        </w:rPr>
      </w:pPr>
      <w:r>
        <w:rPr>
          <w:rFonts w:hint="eastAsia" w:ascii="宋体" w:hAnsi="宋体"/>
          <w:sz w:val="24"/>
          <w:szCs w:val="24"/>
          <w:lang w:val="en-GB"/>
        </w:rPr>
        <w:t>大写金额和小写金额不一致的，以大写金额为准；</w:t>
      </w:r>
    </w:p>
    <w:p>
      <w:pPr>
        <w:numPr>
          <w:ilvl w:val="0"/>
          <w:numId w:val="11"/>
        </w:numPr>
        <w:spacing w:line="360" w:lineRule="auto"/>
        <w:ind w:firstLine="480" w:firstLineChars="200"/>
        <w:rPr>
          <w:rFonts w:hint="eastAsia" w:ascii="宋体" w:hAnsi="宋体"/>
          <w:sz w:val="24"/>
          <w:szCs w:val="24"/>
          <w:lang w:val="en-GB"/>
        </w:rPr>
      </w:pPr>
      <w:r>
        <w:rPr>
          <w:rFonts w:hint="eastAsia" w:ascii="宋体" w:hAnsi="宋体"/>
          <w:sz w:val="24"/>
          <w:szCs w:val="24"/>
          <w:lang w:val="en-GB"/>
        </w:rPr>
        <w:t>单价金额小数点或者百分比有明显错位的，以开标一览表的总价为准，并修改单价；</w:t>
      </w:r>
    </w:p>
    <w:p>
      <w:pPr>
        <w:numPr>
          <w:ilvl w:val="0"/>
          <w:numId w:val="11"/>
        </w:numPr>
        <w:spacing w:line="360" w:lineRule="auto"/>
        <w:ind w:firstLine="480" w:firstLineChars="200"/>
        <w:rPr>
          <w:rFonts w:hint="eastAsia" w:ascii="宋体" w:hAnsi="宋体"/>
          <w:sz w:val="24"/>
          <w:szCs w:val="24"/>
          <w:lang w:val="en-GB"/>
        </w:rPr>
      </w:pPr>
      <w:r>
        <w:rPr>
          <w:rFonts w:hint="eastAsia" w:ascii="宋体" w:hAnsi="宋体"/>
          <w:sz w:val="24"/>
          <w:szCs w:val="24"/>
          <w:lang w:val="en-GB"/>
        </w:rPr>
        <w:t>总价金额与按单价汇总金额不一致的，以单价金额计算结果为准；</w:t>
      </w:r>
    </w:p>
    <w:p>
      <w:pPr>
        <w:numPr>
          <w:ilvl w:val="0"/>
          <w:numId w:val="11"/>
        </w:numPr>
        <w:spacing w:line="360" w:lineRule="auto"/>
        <w:ind w:firstLine="480" w:firstLineChars="200"/>
        <w:rPr>
          <w:rFonts w:hint="eastAsia" w:ascii="宋体" w:hAnsi="宋体"/>
          <w:sz w:val="24"/>
          <w:szCs w:val="24"/>
          <w:lang w:val="en-GB"/>
        </w:rPr>
      </w:pPr>
      <w:r>
        <w:rPr>
          <w:rFonts w:hint="eastAsia" w:ascii="宋体" w:hAnsi="宋体"/>
          <w:sz w:val="24"/>
          <w:szCs w:val="24"/>
          <w:lang w:val="en-GB"/>
        </w:rPr>
        <w:t>投标文件描述内容与原始材料引述内容不一致的，以原始材料内容为准；</w:t>
      </w:r>
    </w:p>
    <w:p>
      <w:pPr>
        <w:numPr>
          <w:ilvl w:val="0"/>
          <w:numId w:val="11"/>
        </w:numPr>
        <w:spacing w:line="360" w:lineRule="auto"/>
        <w:ind w:firstLine="480" w:firstLineChars="200"/>
        <w:rPr>
          <w:rFonts w:hint="eastAsia" w:ascii="宋体" w:hAnsi="宋体"/>
          <w:sz w:val="24"/>
          <w:szCs w:val="24"/>
          <w:lang w:val="en-GB"/>
        </w:rPr>
      </w:pPr>
      <w:r>
        <w:rPr>
          <w:rFonts w:hint="eastAsia" w:ascii="宋体" w:hAnsi="宋体"/>
          <w:sz w:val="24"/>
          <w:szCs w:val="24"/>
          <w:lang w:val="en-GB"/>
        </w:rPr>
        <w:t>对不同文字文本投标文件的解释发生异议的，以中文文本为准；</w:t>
      </w:r>
    </w:p>
    <w:p>
      <w:pPr>
        <w:numPr>
          <w:ilvl w:val="0"/>
          <w:numId w:val="11"/>
        </w:numPr>
        <w:spacing w:line="360" w:lineRule="auto"/>
        <w:ind w:firstLine="480" w:firstLineChars="200"/>
        <w:rPr>
          <w:rFonts w:hint="eastAsia" w:ascii="宋体" w:hAnsi="宋体"/>
          <w:sz w:val="24"/>
          <w:szCs w:val="24"/>
          <w:lang w:val="en-GB"/>
        </w:rPr>
      </w:pPr>
      <w:r>
        <w:rPr>
          <w:rFonts w:hint="eastAsia" w:ascii="宋体" w:hAnsi="宋体"/>
          <w:sz w:val="24"/>
          <w:szCs w:val="24"/>
          <w:lang w:val="en-GB"/>
        </w:rPr>
        <w:t>评标委员会认定为表述不清晰或无法确定的报价均不予修正。</w:t>
      </w:r>
    </w:p>
    <w:p>
      <w:pPr>
        <w:spacing w:line="360" w:lineRule="auto"/>
        <w:ind w:firstLine="480" w:firstLineChars="200"/>
        <w:rPr>
          <w:rFonts w:hint="eastAsia" w:ascii="宋体" w:hAnsi="宋体"/>
          <w:sz w:val="24"/>
          <w:szCs w:val="24"/>
          <w:lang w:val="en-GB"/>
        </w:rPr>
      </w:pPr>
      <w:r>
        <w:rPr>
          <w:rFonts w:hint="eastAsia" w:ascii="宋体" w:hAnsi="宋体"/>
          <w:sz w:val="24"/>
          <w:szCs w:val="24"/>
          <w:lang w:val="en-GB"/>
        </w:rPr>
        <w:t>同时出现两种（含）以上不一致的，按照前款规定的顺序修正。修正后的报价须经投标人确认后产生约束力，投标人确认应当以书面形式，并加盖公章，或者由法定代表人或其授权的代表签字；投标人不确认的，其投标无效。</w:t>
      </w:r>
    </w:p>
    <w:p>
      <w:pPr>
        <w:numPr>
          <w:ilvl w:val="1"/>
          <w:numId w:val="10"/>
        </w:numPr>
        <w:spacing w:line="360" w:lineRule="auto"/>
        <w:ind w:left="0" w:firstLine="480" w:firstLineChars="200"/>
        <w:rPr>
          <w:rFonts w:hint="eastAsia" w:ascii="宋体" w:hAnsi="宋体"/>
          <w:sz w:val="24"/>
          <w:szCs w:val="24"/>
          <w:lang w:val="en-GB"/>
        </w:rPr>
      </w:pPr>
      <w:r>
        <w:rPr>
          <w:rFonts w:hint="eastAsia" w:ascii="宋体" w:hAnsi="宋体"/>
          <w:sz w:val="24"/>
          <w:szCs w:val="24"/>
          <w:lang w:val="en-GB"/>
        </w:rPr>
        <w:t>投标文件的澄清、说明或补正</w:t>
      </w:r>
    </w:p>
    <w:p>
      <w:pPr>
        <w:numPr>
          <w:ilvl w:val="0"/>
          <w:numId w:val="12"/>
        </w:numPr>
        <w:tabs>
          <w:tab w:val="left" w:pos="0"/>
          <w:tab w:val="left" w:pos="720"/>
          <w:tab w:val="left" w:pos="1080"/>
          <w:tab w:val="clear" w:pos="840"/>
        </w:tabs>
        <w:spacing w:line="360" w:lineRule="auto"/>
        <w:ind w:left="0" w:firstLine="480" w:firstLineChars="200"/>
        <w:rPr>
          <w:rFonts w:hint="eastAsia" w:ascii="宋体" w:hAnsi="宋体"/>
          <w:sz w:val="24"/>
          <w:szCs w:val="24"/>
        </w:rPr>
      </w:pPr>
      <w:r>
        <w:rPr>
          <w:rFonts w:hint="eastAsia" w:ascii="宋体" w:hAnsi="宋体"/>
          <w:sz w:val="24"/>
          <w:szCs w:val="24"/>
        </w:rPr>
        <w:t>对于投标文件中含义不明确、同类问题表述不一致或者有明显文字和计算错误的内容，评标委员会应当以书面形式要求投标人作出必要的澄清、说明或者补正。</w:t>
      </w:r>
    </w:p>
    <w:p>
      <w:pPr>
        <w:numPr>
          <w:ilvl w:val="0"/>
          <w:numId w:val="12"/>
        </w:numPr>
        <w:tabs>
          <w:tab w:val="left" w:pos="0"/>
          <w:tab w:val="left" w:pos="720"/>
          <w:tab w:val="left" w:pos="1080"/>
          <w:tab w:val="clear" w:pos="840"/>
        </w:tabs>
        <w:spacing w:line="360" w:lineRule="auto"/>
        <w:ind w:left="0" w:firstLine="480" w:firstLineChars="200"/>
        <w:rPr>
          <w:rFonts w:hint="eastAsia" w:ascii="宋体" w:hAnsi="宋体"/>
          <w:sz w:val="24"/>
          <w:szCs w:val="24"/>
        </w:rPr>
      </w:pPr>
      <w:r>
        <w:rPr>
          <w:rFonts w:hint="eastAsia" w:ascii="宋体" w:hAnsi="宋体"/>
          <w:sz w:val="24"/>
          <w:szCs w:val="24"/>
        </w:rPr>
        <w:t>投标人的澄清、说明或者补正应当采用书面形式，并加盖公章，或者由法定代表人或其授权的代表签字。投标人的澄清、说明或者补正不得超出投标文件的范围或者改变投标文件的实质性内容。</w:t>
      </w:r>
    </w:p>
    <w:p>
      <w:pPr>
        <w:numPr>
          <w:ilvl w:val="0"/>
          <w:numId w:val="12"/>
        </w:numPr>
        <w:tabs>
          <w:tab w:val="left" w:pos="0"/>
          <w:tab w:val="left" w:pos="720"/>
          <w:tab w:val="left" w:pos="1080"/>
          <w:tab w:val="clear" w:pos="840"/>
        </w:tabs>
        <w:spacing w:line="360" w:lineRule="auto"/>
        <w:ind w:left="0" w:firstLine="480" w:firstLineChars="200"/>
        <w:rPr>
          <w:rFonts w:hint="eastAsia" w:ascii="宋体" w:hAnsi="宋体"/>
          <w:sz w:val="24"/>
          <w:szCs w:val="24"/>
        </w:rPr>
      </w:pPr>
      <w:r>
        <w:rPr>
          <w:rFonts w:hint="eastAsia" w:ascii="宋体" w:hAnsi="宋体"/>
          <w:sz w:val="24"/>
          <w:szCs w:val="24"/>
        </w:rPr>
        <w:t>评标委员会成员均应当阅读供应商的澄清、说明或者补正，但应独立参考澄清、说明或者补正对投标文件进行评审，整个澄清、说明或者补正的过程不得存在排斥潜在供应商的现象。</w:t>
      </w:r>
    </w:p>
    <w:p>
      <w:pPr>
        <w:numPr>
          <w:ilvl w:val="0"/>
          <w:numId w:val="12"/>
        </w:numPr>
        <w:tabs>
          <w:tab w:val="left" w:pos="0"/>
          <w:tab w:val="left" w:pos="720"/>
          <w:tab w:val="left" w:pos="1080"/>
          <w:tab w:val="clear" w:pos="840"/>
        </w:tabs>
        <w:spacing w:line="360" w:lineRule="auto"/>
        <w:ind w:left="0" w:firstLine="420"/>
        <w:rPr>
          <w:rFonts w:hint="eastAsia" w:ascii="宋体" w:hAnsi="宋体"/>
          <w:sz w:val="24"/>
          <w:szCs w:val="24"/>
        </w:rPr>
      </w:pPr>
      <w:r>
        <w:rPr>
          <w:rFonts w:hint="eastAsia" w:ascii="宋体" w:hAnsi="宋体"/>
          <w:sz w:val="24"/>
          <w:szCs w:val="24"/>
        </w:rPr>
        <w:t>如果投标文件实质上不响应招标文件的各项要求，评标委员会将按照招标文件要求予以拒绝，不接受供应商通过修改或撤销其不符合要求的差异或保留，使之成为具有响应性的投标。</w:t>
      </w:r>
    </w:p>
    <w:p>
      <w:pPr>
        <w:numPr>
          <w:ilvl w:val="0"/>
          <w:numId w:val="12"/>
        </w:numPr>
        <w:tabs>
          <w:tab w:val="left" w:pos="0"/>
          <w:tab w:val="left" w:pos="720"/>
          <w:tab w:val="left" w:pos="1080"/>
          <w:tab w:val="clear" w:pos="840"/>
        </w:tabs>
        <w:spacing w:line="360" w:lineRule="auto"/>
        <w:ind w:left="0" w:firstLine="420"/>
        <w:rPr>
          <w:rFonts w:hint="eastAsia" w:ascii="宋体" w:hAnsi="宋体"/>
          <w:sz w:val="24"/>
          <w:szCs w:val="24"/>
        </w:rPr>
      </w:pPr>
      <w:r>
        <w:rPr>
          <w:rFonts w:hint="eastAsia" w:ascii="宋体" w:hAnsi="宋体"/>
          <w:sz w:val="24"/>
          <w:szCs w:val="24"/>
        </w:rPr>
        <w:t>除上述规定的情形之外，评标委员会在评审过程中，不得接收来自评审现场以外的任何形式的文件资料。</w:t>
      </w:r>
    </w:p>
    <w:p>
      <w:pPr>
        <w:pStyle w:val="5"/>
        <w:rPr>
          <w:rFonts w:hint="eastAsia" w:ascii="宋体" w:hAnsi="宋体"/>
        </w:rPr>
      </w:pPr>
    </w:p>
    <w:p>
      <w:pPr>
        <w:numPr>
          <w:ilvl w:val="0"/>
          <w:numId w:val="6"/>
        </w:numPr>
        <w:spacing w:line="360" w:lineRule="auto"/>
        <w:ind w:left="567" w:hanging="27"/>
        <w:outlineLvl w:val="1"/>
        <w:rPr>
          <w:rFonts w:hint="eastAsia" w:ascii="宋体" w:hAnsi="宋体"/>
          <w:b/>
          <w:sz w:val="24"/>
          <w:szCs w:val="24"/>
        </w:rPr>
      </w:pPr>
      <w:bookmarkStart w:id="271" w:name="_Toc401575155"/>
      <w:bookmarkStart w:id="272" w:name="_Toc403491571"/>
      <w:r>
        <w:rPr>
          <w:rFonts w:hint="eastAsia" w:ascii="宋体" w:hAnsi="宋体"/>
          <w:b/>
          <w:sz w:val="24"/>
          <w:szCs w:val="24"/>
        </w:rPr>
        <w:t>评标程序</w:t>
      </w:r>
      <w:bookmarkEnd w:id="267"/>
      <w:bookmarkEnd w:id="268"/>
      <w:bookmarkEnd w:id="269"/>
      <w:bookmarkEnd w:id="270"/>
      <w:bookmarkEnd w:id="271"/>
      <w:bookmarkEnd w:id="272"/>
    </w:p>
    <w:p>
      <w:pPr>
        <w:spacing w:line="360" w:lineRule="auto"/>
        <w:ind w:firstLine="482" w:firstLineChars="200"/>
        <w:rPr>
          <w:rFonts w:hint="eastAsia" w:ascii="宋体" w:hAnsi="宋体"/>
          <w:b/>
          <w:sz w:val="24"/>
          <w:szCs w:val="24"/>
        </w:rPr>
      </w:pPr>
      <w:r>
        <w:rPr>
          <w:rFonts w:hint="eastAsia" w:ascii="宋体" w:hAnsi="宋体"/>
          <w:b/>
          <w:sz w:val="24"/>
          <w:szCs w:val="24"/>
        </w:rPr>
        <w:t>（一）资格审查</w:t>
      </w:r>
    </w:p>
    <w:p>
      <w:pPr>
        <w:tabs>
          <w:tab w:val="left" w:pos="0"/>
        </w:tabs>
        <w:spacing w:line="360" w:lineRule="auto"/>
        <w:ind w:firstLine="480" w:firstLineChars="200"/>
        <w:rPr>
          <w:rFonts w:hint="eastAsia" w:ascii="宋体" w:hAnsi="宋体"/>
          <w:sz w:val="24"/>
        </w:rPr>
      </w:pPr>
      <w:r>
        <w:rPr>
          <w:rFonts w:hint="eastAsia" w:ascii="宋体" w:hAnsi="宋体"/>
          <w:sz w:val="24"/>
        </w:rPr>
        <w:t>1.项目开标结束后，采购人</w:t>
      </w:r>
      <w:r>
        <w:rPr>
          <w:rFonts w:hint="eastAsia" w:ascii="宋体" w:hAnsi="宋体"/>
          <w:sz w:val="24"/>
          <w:szCs w:val="24"/>
        </w:rPr>
        <w:t>应当依法对投标人的资格进行审查，出现不符合下列情形之一时，作无效投标处理。</w:t>
      </w:r>
      <w:r>
        <w:rPr>
          <w:rFonts w:hint="eastAsia" w:ascii="宋体" w:hAnsi="宋体"/>
          <w:sz w:val="24"/>
        </w:rPr>
        <w:t>《资格审查表》如下：</w:t>
      </w:r>
    </w:p>
    <w:tbl>
      <w:tblPr>
        <w:tblStyle w:val="14"/>
        <w:tblW w:w="9502" w:type="dxa"/>
        <w:tblCellSpacing w:w="15" w:type="dxa"/>
        <w:tblInd w:w="0" w:type="dxa"/>
        <w:tblLayout w:type="fixed"/>
        <w:tblCellMar>
          <w:top w:w="15" w:type="dxa"/>
          <w:left w:w="15" w:type="dxa"/>
          <w:bottom w:w="15" w:type="dxa"/>
          <w:right w:w="15" w:type="dxa"/>
        </w:tblCellMar>
      </w:tblPr>
      <w:tblGrid>
        <w:gridCol w:w="9502"/>
      </w:tblGrid>
      <w:tr>
        <w:tblPrEx>
          <w:tblLayout w:type="fixed"/>
          <w:tblCellMar>
            <w:top w:w="15" w:type="dxa"/>
            <w:left w:w="15" w:type="dxa"/>
            <w:bottom w:w="15" w:type="dxa"/>
            <w:right w:w="15" w:type="dxa"/>
          </w:tblCellMar>
        </w:tblPrEx>
        <w:trPr>
          <w:tblCellSpacing w:w="15" w:type="dxa"/>
        </w:trPr>
        <w:tc>
          <w:tcPr>
            <w:tcW w:w="9442" w:type="dxa"/>
            <w:vAlign w:val="center"/>
          </w:tcPr>
          <w:tbl>
            <w:tblPr>
              <w:tblStyle w:val="14"/>
              <w:tblW w:w="9396" w:type="dxa"/>
              <w:tblInd w:w="1"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342"/>
              <w:gridCol w:w="8054"/>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序号</w:t>
                  </w:r>
                </w:p>
              </w:tc>
              <w:tc>
                <w:tcPr>
                  <w:tcW w:w="8054"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资格审查内容</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1</w:t>
                  </w:r>
                </w:p>
              </w:tc>
              <w:tc>
                <w:tcPr>
                  <w:tcW w:w="8054" w:type="dxa"/>
                  <w:tcBorders>
                    <w:top w:val="outset" w:color="auto" w:sz="6" w:space="0"/>
                    <w:left w:val="outset" w:color="auto" w:sz="6" w:space="0"/>
                    <w:bottom w:val="outset" w:color="auto" w:sz="6" w:space="0"/>
                    <w:right w:val="outset" w:color="auto" w:sz="6" w:space="0"/>
                  </w:tcBorders>
                  <w:vAlign w:val="center"/>
                </w:tcPr>
                <w:p>
                  <w:pPr>
                    <w:jc w:val="left"/>
                    <w:rPr>
                      <w:rFonts w:hint="eastAsia"/>
                    </w:rPr>
                  </w:pPr>
                  <w:r>
                    <w:rPr>
                      <w:rFonts w:hint="eastAsia" w:ascii="宋体" w:hAnsi="宋体" w:cs="宋体"/>
                      <w:sz w:val="24"/>
                    </w:rPr>
                    <w:t>投标人须具备以下两个条件（提供相关证明材料扫描件）：1.投标人具有自有或租赁，满足本项目</w:t>
                  </w:r>
                  <w:r>
                    <w:rPr>
                      <w:rFonts w:hint="eastAsia" w:ascii="宋体" w:hAnsi="宋体" w:cs="宋体"/>
                      <w:sz w:val="24"/>
                      <w:lang w:eastAsia="zh-CN"/>
                    </w:rPr>
                    <w:t>仓库</w:t>
                  </w:r>
                  <w:r>
                    <w:rPr>
                      <w:rFonts w:hint="eastAsia" w:ascii="宋体" w:hAnsi="宋体" w:cs="宋体"/>
                      <w:sz w:val="24"/>
                    </w:rPr>
                    <w:t>和</w:t>
                  </w:r>
                  <w:r>
                    <w:rPr>
                      <w:rFonts w:hint="eastAsia" w:ascii="宋体" w:hAnsi="宋体" w:cs="宋体"/>
                      <w:sz w:val="24"/>
                      <w:lang w:eastAsia="zh-CN"/>
                    </w:rPr>
                    <w:t>运输</w:t>
                  </w:r>
                  <w:r>
                    <w:rPr>
                      <w:rFonts w:hint="eastAsia" w:ascii="宋体" w:hAnsi="宋体" w:cs="宋体"/>
                      <w:sz w:val="24"/>
                    </w:rPr>
                    <w:t>车</w:t>
                  </w:r>
                  <w:r>
                    <w:rPr>
                      <w:rFonts w:hint="eastAsia" w:ascii="宋体" w:hAnsi="宋体" w:cs="宋体"/>
                      <w:sz w:val="24"/>
                      <w:lang w:eastAsia="zh-CN"/>
                    </w:rPr>
                    <w:t>辆</w:t>
                  </w:r>
                  <w:r>
                    <w:rPr>
                      <w:rFonts w:hint="eastAsia" w:ascii="宋体" w:hAnsi="宋体" w:cs="宋体"/>
                      <w:sz w:val="24"/>
                    </w:rPr>
                    <w:t>，提供场所和车</w:t>
                  </w:r>
                  <w:r>
                    <w:rPr>
                      <w:rFonts w:hint="eastAsia" w:ascii="宋体" w:hAnsi="宋体" w:cs="宋体"/>
                      <w:sz w:val="24"/>
                      <w:lang w:eastAsia="zh-CN"/>
                    </w:rPr>
                    <w:t>量</w:t>
                  </w:r>
                  <w:r>
                    <w:rPr>
                      <w:rFonts w:hint="eastAsia" w:ascii="宋体" w:hAnsi="宋体" w:cs="宋体"/>
                      <w:sz w:val="24"/>
                    </w:rPr>
                    <w:t>的产权证明或有效的租赁合同、实拍图片；2.投标人具有自有或租赁、满足本项目</w:t>
                  </w:r>
                  <w:r>
                    <w:rPr>
                      <w:rFonts w:hint="eastAsia" w:ascii="宋体" w:hAnsi="宋体" w:cs="宋体"/>
                      <w:sz w:val="24"/>
                      <w:lang w:eastAsia="zh-CN"/>
                    </w:rPr>
                    <w:t>仓库</w:t>
                  </w:r>
                  <w:r>
                    <w:rPr>
                      <w:rFonts w:hint="eastAsia" w:ascii="宋体" w:hAnsi="宋体" w:cs="宋体"/>
                      <w:sz w:val="24"/>
                    </w:rPr>
                    <w:t>和</w:t>
                  </w:r>
                  <w:r>
                    <w:rPr>
                      <w:rFonts w:hint="eastAsia" w:ascii="宋体" w:hAnsi="宋体" w:cs="宋体"/>
                      <w:sz w:val="24"/>
                      <w:lang w:eastAsia="zh-CN"/>
                    </w:rPr>
                    <w:t>运输</w:t>
                  </w:r>
                  <w:r>
                    <w:rPr>
                      <w:rFonts w:hint="eastAsia" w:ascii="宋体" w:hAnsi="宋体" w:cs="宋体"/>
                      <w:sz w:val="24"/>
                    </w:rPr>
                    <w:t>车</w:t>
                  </w:r>
                  <w:r>
                    <w:rPr>
                      <w:rFonts w:hint="eastAsia" w:ascii="宋体" w:hAnsi="宋体" w:cs="宋体"/>
                      <w:sz w:val="24"/>
                      <w:lang w:eastAsia="zh-CN"/>
                    </w:rPr>
                    <w:t>辆</w:t>
                  </w:r>
                  <w:r>
                    <w:rPr>
                      <w:rFonts w:hint="eastAsia" w:ascii="宋体" w:hAnsi="宋体" w:cs="宋体"/>
                      <w:sz w:val="24"/>
                    </w:rPr>
                    <w:t>（或承诺在中标通知书发出之日起15天内具有）。</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2</w:t>
                  </w:r>
                </w:p>
              </w:tc>
              <w:tc>
                <w:tcPr>
                  <w:tcW w:w="8054" w:type="dxa"/>
                  <w:tcBorders>
                    <w:top w:val="outset" w:color="auto" w:sz="6" w:space="0"/>
                    <w:left w:val="outset" w:color="auto" w:sz="6" w:space="0"/>
                    <w:bottom w:val="outset" w:color="auto" w:sz="6" w:space="0"/>
                    <w:right w:val="outset" w:color="auto" w:sz="6" w:space="0"/>
                  </w:tcBorders>
                  <w:vAlign w:val="center"/>
                </w:tcPr>
                <w:p>
                  <w:pPr>
                    <w:jc w:val="left"/>
                    <w:rPr>
                      <w:rFonts w:hint="eastAsia" w:eastAsia="宋体"/>
                      <w:lang w:eastAsia="zh-CN"/>
                    </w:rPr>
                  </w:pPr>
                  <w:r>
                    <w:rPr>
                      <w:rFonts w:ascii="宋体" w:hAnsi="宋体" w:cs="宋体"/>
                      <w:sz w:val="24"/>
                    </w:rPr>
                    <w:t>分支机构投标的，</w:t>
                  </w:r>
                  <w:r>
                    <w:rPr>
                      <w:rFonts w:ascii="宋体" w:hAnsi="宋体" w:cs="宋体"/>
                      <w:color w:val="auto"/>
                      <w:sz w:val="24"/>
                    </w:rPr>
                    <w:t>须</w:t>
                  </w:r>
                  <w:r>
                    <w:rPr>
                      <w:rFonts w:hint="eastAsia" w:ascii="宋体" w:hAnsi="宋体" w:cs="宋体"/>
                      <w:color w:val="auto"/>
                      <w:sz w:val="24"/>
                      <w:lang w:val="en-US" w:eastAsia="zh-CN"/>
                    </w:rPr>
                    <w:t>提供分支机构营业执照</w:t>
                  </w:r>
                  <w:r>
                    <w:rPr>
                      <w:rFonts w:ascii="宋体" w:hAnsi="宋体" w:cs="宋体"/>
                      <w:color w:val="auto"/>
                      <w:sz w:val="24"/>
                    </w:rPr>
                    <w:t>。</w:t>
                  </w:r>
                  <w:r>
                    <w:rPr>
                      <w:rFonts w:ascii="宋体" w:hAnsi="宋体" w:cs="宋体"/>
                      <w:sz w:val="24"/>
                    </w:rPr>
                    <w:t>根据以下信息进行评审：分支机构的营业执照（执业许可证）扫描件</w:t>
                  </w:r>
                  <w:r>
                    <w:rPr>
                      <w:rFonts w:hint="eastAsia" w:ascii="宋体" w:hAnsi="宋体" w:cs="宋体"/>
                      <w:sz w:val="24"/>
                      <w:lang w:eastAsia="zh-CN"/>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rPr>
                      <w:rFonts w:hint="eastAsia" w:eastAsia="宋体"/>
                      <w:lang w:eastAsia="zh-CN"/>
                    </w:rPr>
                  </w:pPr>
                  <w:r>
                    <w:rPr>
                      <w:rFonts w:hint="eastAsia" w:ascii="宋体" w:hAnsi="宋体" w:cs="宋体"/>
                      <w:sz w:val="24"/>
                      <w:lang w:val="en-US" w:eastAsia="zh-CN"/>
                    </w:rPr>
                    <w:t>3</w:t>
                  </w:r>
                </w:p>
              </w:tc>
              <w:tc>
                <w:tcPr>
                  <w:tcW w:w="8054" w:type="dxa"/>
                  <w:tcBorders>
                    <w:top w:val="outset" w:color="auto" w:sz="6" w:space="0"/>
                    <w:left w:val="outset" w:color="auto" w:sz="6" w:space="0"/>
                    <w:bottom w:val="outset" w:color="auto" w:sz="6" w:space="0"/>
                    <w:right w:val="outset" w:color="auto" w:sz="6" w:space="0"/>
                  </w:tcBorders>
                  <w:vAlign w:val="center"/>
                </w:tcPr>
                <w:p>
                  <w:pPr>
                    <w:jc w:val="left"/>
                  </w:pPr>
                  <w:r>
                    <w:rPr>
                      <w:rFonts w:ascii="宋体" w:hAnsi="宋体" w:cs="宋体"/>
                      <w:sz w:val="24"/>
                    </w:rPr>
                    <w:t>本项目不接受联合体投标。</w:t>
                  </w:r>
                </w:p>
              </w:tc>
            </w:tr>
          </w:tbl>
          <w:p/>
        </w:tc>
      </w:tr>
    </w:tbl>
    <w:p>
      <w:pPr>
        <w:widowControl/>
        <w:ind w:firstLine="480" w:firstLineChars="200"/>
        <w:jc w:val="left"/>
        <w:rPr>
          <w:rFonts w:hint="eastAsia"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采购人进行资格审查时认定供应商不合格的，应告知供应商并说明理由。</w:t>
      </w:r>
    </w:p>
    <w:p>
      <w:pPr>
        <w:widowControl/>
        <w:ind w:firstLine="480" w:firstLineChars="200"/>
        <w:jc w:val="left"/>
        <w:rPr>
          <w:rFonts w:hint="eastAsia" w:ascii="宋体" w:hAnsi="宋体" w:cs="宋体"/>
          <w:kern w:val="0"/>
          <w:sz w:val="24"/>
          <w:szCs w:val="24"/>
        </w:rPr>
      </w:pPr>
      <w:r>
        <w:rPr>
          <w:rFonts w:hint="eastAsia" w:ascii="宋体" w:hAnsi="宋体" w:cs="宋体"/>
          <w:kern w:val="0"/>
          <w:sz w:val="24"/>
          <w:szCs w:val="24"/>
        </w:rPr>
        <w:t>3.不通过资格审查或投标无效的，不作符合性审查。</w:t>
      </w:r>
    </w:p>
    <w:p>
      <w:pPr>
        <w:widowControl/>
        <w:spacing w:line="360" w:lineRule="auto"/>
        <w:rPr>
          <w:rFonts w:hint="eastAsia" w:ascii="宋体" w:hAnsi="宋体" w:cs="宋体"/>
          <w:b/>
          <w:kern w:val="0"/>
          <w:sz w:val="24"/>
          <w:szCs w:val="24"/>
        </w:rPr>
      </w:pPr>
    </w:p>
    <w:p>
      <w:pPr>
        <w:widowControl/>
        <w:spacing w:line="360" w:lineRule="auto"/>
        <w:ind w:firstLine="482" w:firstLineChars="200"/>
        <w:rPr>
          <w:rFonts w:ascii="宋体" w:hAnsi="宋体"/>
          <w:b/>
          <w:sz w:val="24"/>
          <w:szCs w:val="24"/>
        </w:rPr>
      </w:pPr>
      <w:r>
        <w:rPr>
          <w:rFonts w:hint="eastAsia" w:ascii="宋体" w:hAnsi="宋体"/>
          <w:b/>
          <w:sz w:val="24"/>
          <w:szCs w:val="24"/>
        </w:rPr>
        <w:t>（二）符合性审查</w:t>
      </w:r>
    </w:p>
    <w:p>
      <w:pPr>
        <w:widowControl/>
        <w:ind w:firstLine="480" w:firstLineChars="200"/>
        <w:rPr>
          <w:rFonts w:hint="eastAsia" w:ascii="宋体" w:hAnsi="宋体"/>
          <w:sz w:val="24"/>
        </w:rPr>
      </w:pPr>
      <w:r>
        <w:rPr>
          <w:rFonts w:hint="eastAsia" w:ascii="宋体" w:hAnsi="宋体"/>
          <w:sz w:val="24"/>
          <w:szCs w:val="24"/>
        </w:rPr>
        <w:t>1.评标委员会应当对符合资格的投标人的投标文件进行符合性审查，以确定其是否满足招标文件的实质性要求</w:t>
      </w:r>
      <w:r>
        <w:rPr>
          <w:rFonts w:hint="eastAsia" w:ascii="宋体" w:hAnsi="宋体"/>
          <w:sz w:val="24"/>
        </w:rPr>
        <w:t>，出现不符合下列情形之一时，作无效投标处理。《符合性审查表》如下：</w:t>
      </w:r>
    </w:p>
    <w:p>
      <w:pPr>
        <w:pStyle w:val="2"/>
        <w:rPr>
          <w:rFonts w:hint="eastAsia"/>
        </w:rPr>
      </w:pPr>
    </w:p>
    <w:tbl>
      <w:tblPr>
        <w:tblStyle w:val="14"/>
        <w:tblW w:w="9502" w:type="dxa"/>
        <w:tblCellSpacing w:w="15" w:type="dxa"/>
        <w:tblInd w:w="0" w:type="dxa"/>
        <w:tblLayout w:type="fixed"/>
        <w:tblCellMar>
          <w:top w:w="15" w:type="dxa"/>
          <w:left w:w="15" w:type="dxa"/>
          <w:bottom w:w="15" w:type="dxa"/>
          <w:right w:w="15" w:type="dxa"/>
        </w:tblCellMar>
      </w:tblPr>
      <w:tblGrid>
        <w:gridCol w:w="9502"/>
      </w:tblGrid>
      <w:tr>
        <w:tblPrEx>
          <w:tblLayout w:type="fixed"/>
          <w:tblCellMar>
            <w:top w:w="15" w:type="dxa"/>
            <w:left w:w="15" w:type="dxa"/>
            <w:bottom w:w="15" w:type="dxa"/>
            <w:right w:w="15" w:type="dxa"/>
          </w:tblCellMar>
        </w:tblPrEx>
        <w:trPr>
          <w:tblCellSpacing w:w="15" w:type="dxa"/>
        </w:trPr>
        <w:tc>
          <w:tcPr>
            <w:tcW w:w="9442" w:type="dxa"/>
            <w:vAlign w:val="center"/>
          </w:tcPr>
          <w:tbl>
            <w:tblPr>
              <w:tblStyle w:val="14"/>
              <w:tblW w:w="9396" w:type="dxa"/>
              <w:tblInd w:w="1"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342"/>
              <w:gridCol w:w="8054"/>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序号</w:t>
                  </w:r>
                </w:p>
              </w:tc>
              <w:tc>
                <w:tcPr>
                  <w:tcW w:w="8054" w:type="dxa"/>
                  <w:tcBorders>
                    <w:top w:val="outset" w:color="auto" w:sz="6" w:space="0"/>
                    <w:left w:val="outset" w:color="auto" w:sz="6" w:space="0"/>
                    <w:bottom w:val="outset" w:color="auto" w:sz="6" w:space="0"/>
                    <w:right w:val="outset" w:color="auto" w:sz="6" w:space="0"/>
                  </w:tcBorders>
                  <w:vAlign w:val="center"/>
                </w:tcPr>
                <w:p>
                  <w:pPr>
                    <w:jc w:val="center"/>
                  </w:pPr>
                  <w:r>
                    <w:rPr>
                      <w:rFonts w:ascii="宋体" w:hAnsi="宋体" w:cs="宋体"/>
                      <w:sz w:val="24"/>
                    </w:rPr>
                    <w:t>符合性审查内容</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rPr>
                      <w:rFonts w:hint="eastAsia"/>
                    </w:rPr>
                  </w:pPr>
                  <w:r>
                    <w:rPr>
                      <w:rFonts w:hint="eastAsia" w:ascii="宋体" w:hAnsi="宋体" w:cs="宋体"/>
                      <w:sz w:val="24"/>
                    </w:rPr>
                    <w:t>1</w:t>
                  </w:r>
                </w:p>
              </w:tc>
              <w:tc>
                <w:tcPr>
                  <w:tcW w:w="8054" w:type="dxa"/>
                  <w:tcBorders>
                    <w:top w:val="outset" w:color="auto" w:sz="6" w:space="0"/>
                    <w:left w:val="outset" w:color="auto" w:sz="6" w:space="0"/>
                    <w:bottom w:val="outset" w:color="auto" w:sz="6" w:space="0"/>
                    <w:right w:val="outset" w:color="auto" w:sz="6" w:space="0"/>
                  </w:tcBorders>
                  <w:vAlign w:val="center"/>
                </w:tcPr>
                <w:p>
                  <w:pPr>
                    <w:jc w:val="left"/>
                  </w:pPr>
                  <w:r>
                    <w:rPr>
                      <w:rFonts w:ascii="宋体" w:hAnsi="宋体" w:cs="宋体"/>
                      <w:sz w:val="24"/>
                    </w:rPr>
                    <w:t>有盖章、签署要求的带★格式文件已按要求盖章、签署</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rPr>
                      <w:rFonts w:hint="eastAsia"/>
                    </w:rPr>
                  </w:pPr>
                  <w:r>
                    <w:rPr>
                      <w:rFonts w:hint="eastAsia" w:ascii="宋体" w:hAnsi="宋体" w:cs="宋体"/>
                      <w:sz w:val="24"/>
                    </w:rPr>
                    <w:t>2</w:t>
                  </w:r>
                </w:p>
              </w:tc>
              <w:tc>
                <w:tcPr>
                  <w:tcW w:w="8054" w:type="dxa"/>
                  <w:tcBorders>
                    <w:top w:val="outset" w:color="auto" w:sz="6" w:space="0"/>
                    <w:left w:val="outset" w:color="auto" w:sz="6" w:space="0"/>
                    <w:bottom w:val="outset" w:color="auto" w:sz="6" w:space="0"/>
                    <w:right w:val="outset" w:color="auto" w:sz="6" w:space="0"/>
                  </w:tcBorders>
                  <w:vAlign w:val="center"/>
                </w:tcPr>
                <w:p>
                  <w:pPr>
                    <w:jc w:val="left"/>
                  </w:pPr>
                  <w:r>
                    <w:rPr>
                      <w:rFonts w:ascii="宋体" w:hAnsi="宋体" w:cs="宋体"/>
                      <w:sz w:val="24"/>
                    </w:rPr>
                    <w:t>投标文件完全满足招标文件中带★号的条款和指标(审查《实质性响应条款一览表》)</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1342" w:type="dxa"/>
                  <w:tcBorders>
                    <w:top w:val="outset" w:color="auto" w:sz="6" w:space="0"/>
                    <w:left w:val="outset" w:color="auto" w:sz="6" w:space="0"/>
                    <w:bottom w:val="outset" w:color="auto" w:sz="6" w:space="0"/>
                    <w:right w:val="outset" w:color="auto" w:sz="6" w:space="0"/>
                  </w:tcBorders>
                  <w:vAlign w:val="center"/>
                </w:tcPr>
                <w:p>
                  <w:pPr>
                    <w:jc w:val="center"/>
                    <w:rPr>
                      <w:rFonts w:hint="eastAsia"/>
                    </w:rPr>
                  </w:pPr>
                  <w:r>
                    <w:rPr>
                      <w:rFonts w:hint="eastAsia" w:ascii="宋体" w:hAnsi="宋体" w:cs="宋体"/>
                      <w:sz w:val="24"/>
                    </w:rPr>
                    <w:t>3</w:t>
                  </w:r>
                </w:p>
              </w:tc>
              <w:tc>
                <w:tcPr>
                  <w:tcW w:w="8054" w:type="dxa"/>
                  <w:tcBorders>
                    <w:top w:val="outset" w:color="auto" w:sz="6" w:space="0"/>
                    <w:left w:val="outset" w:color="auto" w:sz="6" w:space="0"/>
                    <w:bottom w:val="outset" w:color="auto" w:sz="6" w:space="0"/>
                    <w:right w:val="outset" w:color="auto" w:sz="6" w:space="0"/>
                  </w:tcBorders>
                  <w:vAlign w:val="center"/>
                </w:tcPr>
                <w:p>
                  <w:pPr>
                    <w:jc w:val="left"/>
                  </w:pPr>
                  <w:r>
                    <w:rPr>
                      <w:rFonts w:ascii="宋体" w:hAnsi="宋体" w:cs="宋体"/>
                      <w:sz w:val="24"/>
                    </w:rPr>
                    <w:t>未发现属无效投标的其他情形（见表末说明）</w:t>
                  </w:r>
                </w:p>
              </w:tc>
            </w:tr>
          </w:tbl>
          <w:p/>
        </w:tc>
      </w:tr>
      <w:tr>
        <w:tblPrEx>
          <w:tblLayout w:type="fixed"/>
          <w:tblCellMar>
            <w:top w:w="15" w:type="dxa"/>
            <w:left w:w="15" w:type="dxa"/>
            <w:bottom w:w="15" w:type="dxa"/>
            <w:right w:w="15" w:type="dxa"/>
          </w:tblCellMar>
        </w:tblPrEx>
        <w:trPr>
          <w:tblCellSpacing w:w="15" w:type="dxa"/>
        </w:trPr>
        <w:tc>
          <w:tcPr>
            <w:tcW w:w="9442" w:type="dxa"/>
            <w:vAlign w:val="center"/>
          </w:tcPr>
          <w:p/>
        </w:tc>
      </w:tr>
    </w:tbl>
    <w:p>
      <w:pPr>
        <w:tabs>
          <w:tab w:val="left" w:pos="0"/>
          <w:tab w:val="left" w:pos="720"/>
          <w:tab w:val="left" w:pos="1080"/>
        </w:tabs>
        <w:spacing w:line="360" w:lineRule="auto"/>
        <w:ind w:left="420"/>
        <w:rPr>
          <w:rFonts w:hint="eastAsia" w:ascii="宋体" w:hAnsi="宋体"/>
          <w:b/>
          <w:sz w:val="24"/>
          <w:szCs w:val="24"/>
        </w:rPr>
      </w:pPr>
      <w:r>
        <w:rPr>
          <w:rFonts w:hint="eastAsia" w:ascii="宋体" w:hAnsi="宋体"/>
          <w:b/>
          <w:sz w:val="24"/>
          <w:szCs w:val="24"/>
        </w:rPr>
        <w:t>说明：以下为属无效投标的其他情形。</w:t>
      </w:r>
    </w:p>
    <w:p>
      <w:pPr>
        <w:pStyle w:val="6"/>
        <w:numPr>
          <w:ilvl w:val="1"/>
          <w:numId w:val="13"/>
        </w:numPr>
        <w:tabs>
          <w:tab w:val="clear" w:pos="851"/>
        </w:tabs>
        <w:ind w:left="0" w:firstLine="426"/>
        <w:rPr>
          <w:rFonts w:hint="eastAsia" w:hAnsi="宋体"/>
          <w:sz w:val="24"/>
          <w:szCs w:val="24"/>
        </w:rPr>
      </w:pPr>
      <w:bookmarkStart w:id="273" w:name="EBcbd2e3ca51c84175b3cd9a485234c7e4"/>
      <w:bookmarkEnd w:id="273"/>
      <w:r>
        <w:rPr>
          <w:rFonts w:hAnsi="宋体"/>
          <w:sz w:val="24"/>
          <w:szCs w:val="24"/>
        </w:rPr>
        <w:t>法定代表人</w:t>
      </w:r>
      <w:r>
        <w:rPr>
          <w:rFonts w:hint="eastAsia" w:hAnsi="宋体"/>
          <w:sz w:val="24"/>
          <w:szCs w:val="24"/>
        </w:rPr>
        <w:t>或单位负责人</w:t>
      </w:r>
      <w:r>
        <w:rPr>
          <w:rFonts w:hAnsi="宋体"/>
          <w:sz w:val="24"/>
          <w:szCs w:val="24"/>
        </w:rPr>
        <w:t>为同一个人</w:t>
      </w:r>
      <w:r>
        <w:rPr>
          <w:rFonts w:hint="eastAsia" w:hAnsi="宋体"/>
          <w:sz w:val="24"/>
          <w:szCs w:val="24"/>
        </w:rPr>
        <w:t>或者存在直接控股、管理关系</w:t>
      </w:r>
      <w:r>
        <w:rPr>
          <w:rFonts w:hAnsi="宋体"/>
          <w:sz w:val="24"/>
          <w:szCs w:val="24"/>
        </w:rPr>
        <w:t>的</w:t>
      </w:r>
      <w:r>
        <w:rPr>
          <w:rFonts w:hint="eastAsia" w:hAnsi="宋体"/>
          <w:sz w:val="24"/>
          <w:szCs w:val="24"/>
        </w:rPr>
        <w:t>不同供应商</w:t>
      </w:r>
      <w:r>
        <w:rPr>
          <w:rFonts w:hAnsi="宋体"/>
          <w:sz w:val="24"/>
          <w:szCs w:val="24"/>
        </w:rPr>
        <w:t>，同时参加</w:t>
      </w:r>
      <w:r>
        <w:rPr>
          <w:rFonts w:hint="eastAsia" w:hAnsi="宋体"/>
          <w:sz w:val="24"/>
          <w:szCs w:val="24"/>
        </w:rPr>
        <w:t>本</w:t>
      </w:r>
      <w:r>
        <w:rPr>
          <w:rFonts w:hAnsi="宋体"/>
          <w:sz w:val="24"/>
          <w:szCs w:val="24"/>
        </w:rPr>
        <w:t>项目</w:t>
      </w:r>
      <w:r>
        <w:rPr>
          <w:rFonts w:hint="eastAsia" w:hAnsi="宋体"/>
          <w:sz w:val="24"/>
          <w:szCs w:val="24"/>
        </w:rPr>
        <w:t>或同一子项目</w:t>
      </w:r>
      <w:r>
        <w:rPr>
          <w:rFonts w:hAnsi="宋体"/>
          <w:sz w:val="24"/>
          <w:szCs w:val="24"/>
        </w:rPr>
        <w:t>投标的</w:t>
      </w:r>
      <w:r>
        <w:rPr>
          <w:rFonts w:hint="eastAsia" w:hAnsi="宋体"/>
          <w:sz w:val="24"/>
          <w:szCs w:val="24"/>
        </w:rPr>
        <w:t>。</w:t>
      </w:r>
    </w:p>
    <w:p>
      <w:pPr>
        <w:pStyle w:val="6"/>
        <w:numPr>
          <w:ilvl w:val="1"/>
          <w:numId w:val="13"/>
        </w:numPr>
        <w:tabs>
          <w:tab w:val="clear" w:pos="851"/>
        </w:tabs>
        <w:ind w:left="0" w:firstLine="426"/>
        <w:rPr>
          <w:rFonts w:hint="eastAsia" w:hAnsi="宋体"/>
          <w:sz w:val="24"/>
          <w:szCs w:val="24"/>
        </w:rPr>
      </w:pPr>
      <w:r>
        <w:rPr>
          <w:rFonts w:hint="eastAsia" w:hAnsi="宋体"/>
          <w:sz w:val="24"/>
          <w:szCs w:val="24"/>
        </w:rPr>
        <w:t>评标期间，投标人没有按评标委员会的要求提交法定代表人或其委托代理人签字的澄清、说明、补正或改变了投标文件的实质性内容的。</w:t>
      </w:r>
    </w:p>
    <w:p>
      <w:pPr>
        <w:pStyle w:val="6"/>
        <w:numPr>
          <w:ilvl w:val="1"/>
          <w:numId w:val="13"/>
        </w:numPr>
        <w:tabs>
          <w:tab w:val="clear" w:pos="851"/>
        </w:tabs>
        <w:ind w:left="0" w:firstLine="426"/>
        <w:rPr>
          <w:rFonts w:hint="eastAsia" w:hAnsi="宋体"/>
          <w:sz w:val="24"/>
          <w:szCs w:val="24"/>
        </w:rPr>
      </w:pPr>
      <w:r>
        <w:rPr>
          <w:rFonts w:hint="eastAsia" w:hAnsi="宋体"/>
          <w:sz w:val="24"/>
          <w:szCs w:val="24"/>
        </w:rPr>
        <w:t>投标文件提供虚假材料的。</w:t>
      </w:r>
    </w:p>
    <w:p>
      <w:pPr>
        <w:pStyle w:val="6"/>
        <w:numPr>
          <w:ilvl w:val="1"/>
          <w:numId w:val="13"/>
        </w:numPr>
        <w:tabs>
          <w:tab w:val="clear" w:pos="851"/>
        </w:tabs>
        <w:ind w:left="0" w:firstLine="426"/>
        <w:rPr>
          <w:rFonts w:hint="eastAsia" w:hAnsi="宋体"/>
          <w:sz w:val="24"/>
          <w:szCs w:val="24"/>
        </w:rPr>
      </w:pPr>
      <w:r>
        <w:rPr>
          <w:rFonts w:hint="eastAsia" w:hAnsi="宋体"/>
          <w:sz w:val="24"/>
          <w:szCs w:val="24"/>
        </w:rPr>
        <w:t>投标人以他人的名义投标、串通投标、以行贿手段谋取中标或者以其他弄虚作假方式投标的。</w:t>
      </w:r>
    </w:p>
    <w:p>
      <w:pPr>
        <w:pStyle w:val="6"/>
        <w:numPr>
          <w:ilvl w:val="1"/>
          <w:numId w:val="13"/>
        </w:numPr>
        <w:tabs>
          <w:tab w:val="clear" w:pos="851"/>
        </w:tabs>
        <w:ind w:left="0" w:firstLine="426"/>
        <w:rPr>
          <w:rFonts w:hint="eastAsia" w:hAnsi="宋体"/>
          <w:sz w:val="24"/>
          <w:szCs w:val="24"/>
        </w:rPr>
      </w:pPr>
      <w:r>
        <w:rPr>
          <w:rFonts w:hint="eastAsia" w:hAnsi="宋体"/>
          <w:sz w:val="24"/>
          <w:szCs w:val="24"/>
        </w:rPr>
        <w:t>投标人对采购人、交易中心、评标委员会及其工作人员施加影响，有碍招标公平、公正的。</w:t>
      </w:r>
    </w:p>
    <w:p>
      <w:pPr>
        <w:pStyle w:val="6"/>
        <w:numPr>
          <w:ilvl w:val="1"/>
          <w:numId w:val="13"/>
        </w:numPr>
        <w:tabs>
          <w:tab w:val="clear" w:pos="851"/>
        </w:tabs>
        <w:ind w:left="0" w:firstLine="426"/>
        <w:rPr>
          <w:rFonts w:hint="eastAsia" w:hAnsi="宋体"/>
          <w:sz w:val="24"/>
          <w:szCs w:val="24"/>
        </w:rPr>
      </w:pPr>
      <w:r>
        <w:rPr>
          <w:rFonts w:hint="eastAsia" w:hAnsi="宋体"/>
          <w:sz w:val="24"/>
          <w:szCs w:val="24"/>
        </w:rPr>
        <w:t>投标文件含有采购人不能接受的附加条件的。</w:t>
      </w:r>
    </w:p>
    <w:p>
      <w:pPr>
        <w:pStyle w:val="6"/>
        <w:numPr>
          <w:ilvl w:val="1"/>
          <w:numId w:val="13"/>
        </w:numPr>
        <w:tabs>
          <w:tab w:val="clear" w:pos="851"/>
        </w:tabs>
        <w:ind w:left="0" w:firstLine="426"/>
        <w:rPr>
          <w:rFonts w:hint="eastAsia" w:hAnsi="宋体"/>
          <w:sz w:val="24"/>
          <w:szCs w:val="24"/>
        </w:rPr>
      </w:pPr>
      <w:r>
        <w:rPr>
          <w:rFonts w:hint="eastAsia" w:hAnsi="宋体"/>
          <w:sz w:val="24"/>
          <w:szCs w:val="24"/>
        </w:rPr>
        <w:t>法律、法规和招标文件规定的其他无效情形。</w:t>
      </w:r>
    </w:p>
    <w:p>
      <w:pPr>
        <w:numPr>
          <w:ilvl w:val="0"/>
          <w:numId w:val="14"/>
        </w:numPr>
        <w:tabs>
          <w:tab w:val="left" w:pos="0"/>
          <w:tab w:val="left" w:pos="720"/>
          <w:tab w:val="left" w:pos="1080"/>
          <w:tab w:val="clear" w:pos="840"/>
        </w:tabs>
        <w:spacing w:line="360" w:lineRule="auto"/>
        <w:ind w:left="0" w:firstLine="420"/>
        <w:rPr>
          <w:rFonts w:hint="eastAsia" w:ascii="宋体" w:hAnsi="宋体"/>
          <w:sz w:val="24"/>
          <w:szCs w:val="24"/>
        </w:rPr>
      </w:pPr>
      <w:r>
        <w:rPr>
          <w:rFonts w:hint="eastAsia" w:ascii="宋体" w:hAnsi="宋体"/>
          <w:sz w:val="24"/>
          <w:szCs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numPr>
          <w:ilvl w:val="0"/>
          <w:numId w:val="14"/>
        </w:numPr>
        <w:tabs>
          <w:tab w:val="left" w:pos="0"/>
          <w:tab w:val="left" w:pos="720"/>
          <w:tab w:val="left" w:pos="1080"/>
          <w:tab w:val="clear" w:pos="840"/>
        </w:tabs>
        <w:spacing w:line="360" w:lineRule="auto"/>
        <w:ind w:left="0" w:firstLine="420"/>
        <w:rPr>
          <w:rFonts w:ascii="宋体" w:hAnsi="宋体"/>
          <w:sz w:val="24"/>
          <w:szCs w:val="24"/>
        </w:rPr>
      </w:pPr>
      <w:r>
        <w:rPr>
          <w:rFonts w:hint="eastAsia" w:ascii="宋体" w:hAnsi="宋体"/>
          <w:sz w:val="24"/>
          <w:szCs w:val="24"/>
        </w:rPr>
        <w:t xml:space="preserve">评标委员会进行符合性审查时发现供应商有实质性不响应招标文件的，应告知供应商并说明理由。 </w:t>
      </w:r>
    </w:p>
    <w:p>
      <w:pPr>
        <w:tabs>
          <w:tab w:val="left" w:pos="0"/>
          <w:tab w:val="left" w:pos="720"/>
          <w:tab w:val="left" w:pos="1080"/>
        </w:tabs>
        <w:spacing w:line="360" w:lineRule="auto"/>
        <w:ind w:firstLine="480" w:firstLineChars="200"/>
        <w:rPr>
          <w:rFonts w:hint="eastAsia" w:ascii="宋体" w:hAnsi="宋体"/>
        </w:rPr>
      </w:pPr>
      <w:r>
        <w:rPr>
          <w:rFonts w:hint="eastAsia" w:ascii="宋体" w:hAnsi="宋体"/>
          <w:sz w:val="24"/>
        </w:rPr>
        <w:t>4.不通过资格审查、符合性审查或投标无效的，不进入技术、商务和价格等的评分程序。</w:t>
      </w:r>
      <w:bookmarkStart w:id="274" w:name="EBdfc96280f5f74c8eafebc1d3e5c543d4"/>
      <w:r>
        <w:rPr>
          <w:rFonts w:ascii="宋体" w:hAnsi="宋体"/>
          <w:sz w:val="20"/>
          <w:szCs w:val="24"/>
        </w:rPr>
        <w:t xml:space="preserve"> </w:t>
      </w:r>
      <w:bookmarkEnd w:id="274"/>
      <w:bookmarkStart w:id="275" w:name="EB54dee7489bb143a3b70afe67eaed7f84"/>
      <w:r>
        <w:rPr>
          <w:rFonts w:ascii="宋体" w:hAnsi="宋体"/>
          <w:sz w:val="20"/>
          <w:szCs w:val="24"/>
        </w:rPr>
        <w:t xml:space="preserve"> </w:t>
      </w:r>
      <w:bookmarkEnd w:id="275"/>
    </w:p>
    <w:p>
      <w:pPr>
        <w:numPr>
          <w:ilvl w:val="1"/>
          <w:numId w:val="15"/>
        </w:numPr>
        <w:spacing w:line="360" w:lineRule="auto"/>
        <w:rPr>
          <w:rFonts w:hint="eastAsia" w:ascii="宋体" w:hAnsi="宋体"/>
          <w:b/>
          <w:sz w:val="24"/>
          <w:szCs w:val="24"/>
        </w:rPr>
      </w:pPr>
      <w:r>
        <w:rPr>
          <w:rFonts w:hint="eastAsia" w:ascii="宋体" w:hAnsi="宋体"/>
          <w:b/>
          <w:sz w:val="24"/>
          <w:szCs w:val="24"/>
        </w:rPr>
        <w:t>技术评分</w:t>
      </w:r>
    </w:p>
    <w:p>
      <w:pPr>
        <w:numPr>
          <w:ilvl w:val="0"/>
          <w:numId w:val="16"/>
        </w:numPr>
        <w:tabs>
          <w:tab w:val="left" w:pos="0"/>
          <w:tab w:val="left" w:pos="720"/>
          <w:tab w:val="left" w:pos="1080"/>
          <w:tab w:val="clear" w:pos="840"/>
        </w:tabs>
        <w:spacing w:line="360" w:lineRule="auto"/>
        <w:ind w:left="0" w:firstLine="420"/>
        <w:rPr>
          <w:rFonts w:hint="eastAsia" w:ascii="宋体" w:hAnsi="宋体"/>
          <w:sz w:val="24"/>
          <w:szCs w:val="24"/>
        </w:rPr>
      </w:pPr>
      <w:r>
        <w:rPr>
          <w:rFonts w:hint="eastAsia" w:ascii="宋体" w:hAnsi="宋体"/>
          <w:sz w:val="24"/>
          <w:szCs w:val="24"/>
        </w:rPr>
        <w:t>由</w:t>
      </w:r>
      <w:r>
        <w:rPr>
          <w:rFonts w:hint="eastAsia"/>
          <w:sz w:val="24"/>
          <w:szCs w:val="24"/>
        </w:rPr>
        <w:t>评标委员会成员</w:t>
      </w:r>
      <w:r>
        <w:rPr>
          <w:rFonts w:hint="eastAsia" w:ascii="宋体" w:hAnsi="宋体"/>
          <w:sz w:val="24"/>
          <w:szCs w:val="24"/>
        </w:rPr>
        <w:t xml:space="preserve">对所有有效投标文件的技术和服务响应方案进行审核和分析，填写《技术评分表》，如下： </w:t>
      </w: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tbl>
      <w:tblPr>
        <w:tblStyle w:val="14"/>
        <w:tblW w:w="9624" w:type="dxa"/>
        <w:tblInd w:w="0" w:type="dxa"/>
        <w:shd w:val="clear" w:color="auto" w:fill="auto"/>
        <w:tblLayout w:type="fixed"/>
        <w:tblCellMar>
          <w:top w:w="0" w:type="dxa"/>
          <w:left w:w="108" w:type="dxa"/>
          <w:bottom w:w="0" w:type="dxa"/>
          <w:right w:w="108" w:type="dxa"/>
        </w:tblCellMar>
      </w:tblPr>
      <w:tblGrid>
        <w:gridCol w:w="1789"/>
        <w:gridCol w:w="2093"/>
        <w:gridCol w:w="5742"/>
      </w:tblGrid>
      <w:tr>
        <w:tblPrEx>
          <w:shd w:val="clear" w:color="auto" w:fill="auto"/>
          <w:tblLayout w:type="fixed"/>
          <w:tblCellMar>
            <w:top w:w="0" w:type="dxa"/>
            <w:left w:w="108" w:type="dxa"/>
            <w:bottom w:w="0" w:type="dxa"/>
            <w:right w:w="108" w:type="dxa"/>
          </w:tblCellMar>
        </w:tblPrEx>
        <w:trPr>
          <w:trHeight w:val="390" w:hRule="atLeast"/>
        </w:trPr>
        <w:tc>
          <w:tcPr>
            <w:tcW w:w="178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0）</w:t>
            </w:r>
          </w:p>
        </w:tc>
        <w:tc>
          <w:tcPr>
            <w:tcW w:w="209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评审内容</w:t>
            </w:r>
          </w:p>
        </w:tc>
        <w:tc>
          <w:tcPr>
            <w:tcW w:w="574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评分细则</w:t>
            </w:r>
          </w:p>
        </w:tc>
      </w:tr>
      <w:tr>
        <w:tblPrEx>
          <w:tblLayout w:type="fixed"/>
          <w:tblCellMar>
            <w:top w:w="0" w:type="dxa"/>
            <w:left w:w="108" w:type="dxa"/>
            <w:bottom w:w="0" w:type="dxa"/>
            <w:right w:w="108" w:type="dxa"/>
          </w:tblCellMar>
        </w:tblPrEx>
        <w:trPr>
          <w:trHeight w:val="585" w:hRule="atLeast"/>
        </w:trPr>
        <w:tc>
          <w:tcPr>
            <w:tcW w:w="178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w:t>
            </w:r>
          </w:p>
        </w:tc>
        <w:tc>
          <w:tcPr>
            <w:tcW w:w="2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对本服务配送方案</w:t>
            </w:r>
          </w:p>
        </w:tc>
        <w:tc>
          <w:tcPr>
            <w:tcW w:w="57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根据运输服务方案进行评审，提供针对本服务配送方案得</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分；其他或无响应，材料不全、无效、不提供的</w:t>
            </w:r>
            <w:r>
              <w:rPr>
                <w:rFonts w:hint="eastAsia" w:ascii="宋体" w:hAnsi="宋体" w:cs="宋体"/>
                <w:i w:val="0"/>
                <w:iCs w:val="0"/>
                <w:color w:val="000000"/>
                <w:kern w:val="0"/>
                <w:sz w:val="24"/>
                <w:szCs w:val="24"/>
                <w:u w:val="none"/>
                <w:lang w:val="en-US" w:eastAsia="zh-CN" w:bidi="ar"/>
              </w:rPr>
              <w:t>得0分</w:t>
            </w:r>
            <w:r>
              <w:rPr>
                <w:rFonts w:hint="eastAsia" w:ascii="宋体" w:hAnsi="宋体" w:eastAsia="宋体" w:cs="宋体"/>
                <w:i w:val="0"/>
                <w:iCs w:val="0"/>
                <w:color w:val="000000"/>
                <w:kern w:val="0"/>
                <w:sz w:val="24"/>
                <w:szCs w:val="24"/>
                <w:u w:val="none"/>
                <w:lang w:val="en-US" w:eastAsia="zh-CN" w:bidi="ar"/>
              </w:rPr>
              <w:t>。</w:t>
            </w:r>
          </w:p>
        </w:tc>
      </w:tr>
      <w:tr>
        <w:tblPrEx>
          <w:tblLayout w:type="fixed"/>
          <w:tblCellMar>
            <w:top w:w="0" w:type="dxa"/>
            <w:left w:w="108" w:type="dxa"/>
            <w:bottom w:w="0" w:type="dxa"/>
            <w:right w:w="108" w:type="dxa"/>
          </w:tblCellMar>
        </w:tblPrEx>
        <w:trPr>
          <w:trHeight w:val="1800" w:hRule="atLeast"/>
        </w:trPr>
        <w:tc>
          <w:tcPr>
            <w:tcW w:w="178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w:t>
            </w:r>
          </w:p>
        </w:tc>
        <w:tc>
          <w:tcPr>
            <w:tcW w:w="2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专业作业指导书</w:t>
            </w:r>
          </w:p>
        </w:tc>
        <w:tc>
          <w:tcPr>
            <w:tcW w:w="57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根据作业指导书进行评审，提供健全的经营、服务、调度、统计、技术等机构和相应的完备的管理制度得</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分；其他或无响应，材料不全、无效、不提供的</w:t>
            </w:r>
            <w:r>
              <w:rPr>
                <w:rFonts w:hint="eastAsia" w:ascii="宋体" w:hAnsi="宋体" w:cs="宋体"/>
                <w:i w:val="0"/>
                <w:iCs w:val="0"/>
                <w:color w:val="000000"/>
                <w:kern w:val="0"/>
                <w:sz w:val="24"/>
                <w:szCs w:val="24"/>
                <w:u w:val="none"/>
                <w:lang w:val="en-US" w:eastAsia="zh-CN" w:bidi="ar"/>
              </w:rPr>
              <w:t>得0分</w:t>
            </w:r>
            <w:r>
              <w:rPr>
                <w:rFonts w:hint="eastAsia" w:ascii="宋体" w:hAnsi="宋体" w:eastAsia="宋体" w:cs="宋体"/>
                <w:i w:val="0"/>
                <w:iCs w:val="0"/>
                <w:color w:val="000000"/>
                <w:kern w:val="0"/>
                <w:sz w:val="24"/>
                <w:szCs w:val="24"/>
                <w:u w:val="none"/>
                <w:lang w:val="en-US" w:eastAsia="zh-CN" w:bidi="ar"/>
              </w:rPr>
              <w:t>。</w:t>
            </w:r>
          </w:p>
        </w:tc>
      </w:tr>
      <w:tr>
        <w:tblPrEx>
          <w:tblLayout w:type="fixed"/>
          <w:tblCellMar>
            <w:top w:w="0" w:type="dxa"/>
            <w:left w:w="108" w:type="dxa"/>
            <w:bottom w:w="0" w:type="dxa"/>
            <w:right w:w="108" w:type="dxa"/>
          </w:tblCellMar>
        </w:tblPrEx>
        <w:trPr>
          <w:trHeight w:val="820" w:hRule="atLeast"/>
        </w:trPr>
        <w:tc>
          <w:tcPr>
            <w:tcW w:w="178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运输车辆保障</w:t>
            </w:r>
          </w:p>
        </w:tc>
        <w:tc>
          <w:tcPr>
            <w:tcW w:w="57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根据车辆持有证明进行评审，运输车辆≥</w:t>
            </w:r>
            <w:r>
              <w:rPr>
                <w:rFonts w:hint="eastAsia" w:ascii="宋体" w:hAnsi="宋体" w:cs="宋体"/>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辆得6分，</w:t>
            </w: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辆≤运输车辆&lt;</w:t>
            </w:r>
            <w:r>
              <w:rPr>
                <w:rFonts w:hint="eastAsia" w:ascii="宋体" w:hAnsi="宋体" w:cs="宋体"/>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辆得3分，运输车辆＜</w:t>
            </w: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辆供</w:t>
            </w:r>
            <w:r>
              <w:rPr>
                <w:rFonts w:hint="eastAsia" w:ascii="宋体" w:hAnsi="宋体" w:cs="宋体"/>
                <w:i w:val="0"/>
                <w:iCs w:val="0"/>
                <w:color w:val="000000"/>
                <w:kern w:val="0"/>
                <w:sz w:val="24"/>
                <w:szCs w:val="24"/>
                <w:u w:val="none"/>
                <w:lang w:val="en-US" w:eastAsia="zh-CN" w:bidi="ar"/>
              </w:rPr>
              <w:t>得0分</w:t>
            </w:r>
            <w:r>
              <w:rPr>
                <w:rFonts w:hint="eastAsia" w:ascii="宋体" w:hAnsi="宋体" w:eastAsia="宋体" w:cs="宋体"/>
                <w:i w:val="0"/>
                <w:iCs w:val="0"/>
                <w:color w:val="000000"/>
                <w:kern w:val="0"/>
                <w:sz w:val="24"/>
                <w:szCs w:val="24"/>
                <w:u w:val="none"/>
                <w:lang w:val="en-US" w:eastAsia="zh-CN" w:bidi="ar"/>
              </w:rPr>
              <w:t>。</w:t>
            </w:r>
          </w:p>
        </w:tc>
      </w:tr>
      <w:tr>
        <w:tblPrEx>
          <w:tblLayout w:type="fixed"/>
          <w:tblCellMar>
            <w:top w:w="0" w:type="dxa"/>
            <w:left w:w="108" w:type="dxa"/>
            <w:bottom w:w="0" w:type="dxa"/>
            <w:right w:w="108" w:type="dxa"/>
          </w:tblCellMar>
        </w:tblPrEx>
        <w:trPr>
          <w:trHeight w:val="585" w:hRule="atLeast"/>
        </w:trPr>
        <w:tc>
          <w:tcPr>
            <w:tcW w:w="178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w:t>
            </w:r>
          </w:p>
        </w:tc>
        <w:tc>
          <w:tcPr>
            <w:tcW w:w="2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货物跟踪系统</w:t>
            </w:r>
          </w:p>
        </w:tc>
        <w:tc>
          <w:tcPr>
            <w:tcW w:w="57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根据货物跟踪系统进行评审 ,能实现物流跟踪反馈系统得3分;能实现货物进销存实时查看仓库库存得3分,不提供的</w:t>
            </w:r>
            <w:r>
              <w:rPr>
                <w:rFonts w:hint="eastAsia" w:ascii="宋体" w:hAnsi="宋体" w:cs="宋体"/>
                <w:i w:val="0"/>
                <w:iCs w:val="0"/>
                <w:color w:val="000000"/>
                <w:kern w:val="0"/>
                <w:sz w:val="24"/>
                <w:szCs w:val="24"/>
                <w:u w:val="none"/>
                <w:lang w:val="en-US" w:eastAsia="zh-CN" w:bidi="ar"/>
              </w:rPr>
              <w:t>得0分</w:t>
            </w:r>
            <w:r>
              <w:rPr>
                <w:rFonts w:hint="eastAsia" w:ascii="宋体" w:hAnsi="宋体" w:eastAsia="宋体" w:cs="宋体"/>
                <w:i w:val="0"/>
                <w:iCs w:val="0"/>
                <w:color w:val="000000"/>
                <w:kern w:val="0"/>
                <w:sz w:val="24"/>
                <w:szCs w:val="24"/>
                <w:u w:val="none"/>
                <w:lang w:val="en-US" w:eastAsia="zh-CN" w:bidi="ar"/>
              </w:rPr>
              <w:t>。</w:t>
            </w:r>
          </w:p>
        </w:tc>
      </w:tr>
      <w:tr>
        <w:tblPrEx>
          <w:tblLayout w:type="fixed"/>
          <w:tblCellMar>
            <w:top w:w="0" w:type="dxa"/>
            <w:left w:w="108" w:type="dxa"/>
            <w:bottom w:w="0" w:type="dxa"/>
            <w:right w:w="108" w:type="dxa"/>
          </w:tblCellMar>
        </w:tblPrEx>
        <w:trPr>
          <w:trHeight w:val="870" w:hRule="atLeast"/>
        </w:trPr>
        <w:tc>
          <w:tcPr>
            <w:tcW w:w="178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w:t>
            </w:r>
          </w:p>
        </w:tc>
        <w:tc>
          <w:tcPr>
            <w:tcW w:w="2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仓库设施环境</w:t>
            </w:r>
          </w:p>
        </w:tc>
        <w:tc>
          <w:tcPr>
            <w:tcW w:w="57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根据仓库所在位置及设施进行审评,在芜湖具备自有或合作仓库</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能符合甲方环保存放</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能提供24小时实时监控得</w:t>
            </w:r>
            <w:r>
              <w:rPr>
                <w:rFonts w:hint="eastAsia" w:ascii="宋体" w:hAnsi="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none"/>
                <w:lang w:val="en-US" w:eastAsia="zh-CN" w:bidi="ar"/>
              </w:rPr>
              <w:t>分</w:t>
            </w:r>
            <w:r>
              <w:rPr>
                <w:rFonts w:hint="eastAsia" w:ascii="宋体" w:hAnsi="宋体" w:cs="宋体"/>
                <w:i w:val="0"/>
                <w:iCs w:val="0"/>
                <w:color w:val="000000"/>
                <w:kern w:val="0"/>
                <w:sz w:val="24"/>
                <w:szCs w:val="24"/>
                <w:u w:val="none"/>
                <w:lang w:val="en-US" w:eastAsia="zh-CN" w:bidi="ar"/>
              </w:rPr>
              <w:t>，以上3项资料缺失将得0分。</w:t>
            </w:r>
          </w:p>
        </w:tc>
      </w:tr>
    </w:tbl>
    <w:p>
      <w:pPr>
        <w:rPr>
          <w:rFonts w:ascii="宋体" w:hAnsi="宋体"/>
          <w:sz w:val="24"/>
          <w:szCs w:val="24"/>
        </w:rPr>
      </w:pPr>
    </w:p>
    <w:p>
      <w:pPr>
        <w:numPr>
          <w:ilvl w:val="0"/>
          <w:numId w:val="16"/>
        </w:numPr>
        <w:tabs>
          <w:tab w:val="left" w:pos="0"/>
          <w:tab w:val="left" w:pos="709"/>
          <w:tab w:val="left" w:pos="1080"/>
          <w:tab w:val="clear" w:pos="840"/>
        </w:tabs>
        <w:spacing w:line="360" w:lineRule="auto"/>
        <w:ind w:left="0" w:firstLine="420"/>
        <w:rPr>
          <w:rFonts w:hint="eastAsia" w:ascii="宋体" w:hAnsi="宋体"/>
          <w:sz w:val="24"/>
          <w:szCs w:val="24"/>
        </w:rPr>
      </w:pPr>
      <w:r>
        <w:rPr>
          <w:rFonts w:hint="eastAsia" w:ascii="宋体" w:hAnsi="宋体"/>
          <w:sz w:val="24"/>
          <w:szCs w:val="24"/>
          <w:lang w:eastAsia="zh-CN"/>
        </w:rPr>
        <w:t>投标人需提供相关证明材料，</w:t>
      </w:r>
      <w:r>
        <w:rPr>
          <w:rFonts w:hint="eastAsia" w:ascii="宋体" w:hAnsi="宋体"/>
          <w:sz w:val="24"/>
          <w:szCs w:val="24"/>
        </w:rPr>
        <w:t>将所评各项的得分进行算术，再得出该投标人的技术评分</w:t>
      </w:r>
      <w:r>
        <w:rPr>
          <w:rFonts w:hint="eastAsia" w:ascii="宋体" w:hAnsi="宋体"/>
          <w:sz w:val="24"/>
          <w:szCs w:val="24"/>
          <w:lang w:eastAsia="zh-CN"/>
        </w:rPr>
        <w:t>。</w:t>
      </w:r>
    </w:p>
    <w:p>
      <w:pPr>
        <w:tabs>
          <w:tab w:val="left" w:pos="0"/>
          <w:tab w:val="left" w:pos="720"/>
          <w:tab w:val="left" w:pos="1080"/>
        </w:tabs>
        <w:spacing w:line="360" w:lineRule="auto"/>
        <w:ind w:left="420"/>
        <w:rPr>
          <w:rFonts w:ascii="宋体" w:hAnsi="宋体"/>
          <w:sz w:val="24"/>
          <w:szCs w:val="24"/>
        </w:rPr>
      </w:pPr>
    </w:p>
    <w:p>
      <w:pPr>
        <w:numPr>
          <w:ilvl w:val="1"/>
          <w:numId w:val="15"/>
        </w:numPr>
        <w:spacing w:line="360" w:lineRule="auto"/>
        <w:rPr>
          <w:rFonts w:hint="eastAsia" w:ascii="宋体" w:hAnsi="宋体"/>
          <w:b/>
          <w:sz w:val="24"/>
          <w:szCs w:val="24"/>
        </w:rPr>
      </w:pPr>
      <w:r>
        <w:rPr>
          <w:rFonts w:hint="eastAsia" w:ascii="宋体" w:hAnsi="宋体"/>
          <w:b/>
          <w:sz w:val="24"/>
          <w:szCs w:val="24"/>
        </w:rPr>
        <w:t xml:space="preserve">商务评分  </w:t>
      </w:r>
    </w:p>
    <w:p>
      <w:pPr>
        <w:numPr>
          <w:ilvl w:val="0"/>
          <w:numId w:val="17"/>
        </w:numPr>
        <w:tabs>
          <w:tab w:val="left" w:pos="0"/>
          <w:tab w:val="left" w:pos="720"/>
          <w:tab w:val="left" w:pos="1080"/>
          <w:tab w:val="clear" w:pos="840"/>
        </w:tabs>
        <w:spacing w:line="360" w:lineRule="auto"/>
        <w:ind w:left="0" w:firstLine="420"/>
        <w:rPr>
          <w:rFonts w:hint="eastAsia" w:ascii="宋体" w:hAnsi="宋体"/>
          <w:sz w:val="24"/>
          <w:szCs w:val="24"/>
        </w:rPr>
      </w:pPr>
      <w:r>
        <w:rPr>
          <w:rFonts w:hint="eastAsia" w:ascii="宋体" w:hAnsi="宋体"/>
          <w:sz w:val="24"/>
          <w:szCs w:val="24"/>
        </w:rPr>
        <w:t>由</w:t>
      </w:r>
      <w:r>
        <w:rPr>
          <w:rFonts w:hint="eastAsia"/>
          <w:sz w:val="24"/>
          <w:szCs w:val="24"/>
        </w:rPr>
        <w:t>评标委员会成员</w:t>
      </w:r>
      <w:r>
        <w:rPr>
          <w:rFonts w:hint="eastAsia" w:ascii="宋体" w:hAnsi="宋体"/>
          <w:sz w:val="24"/>
          <w:szCs w:val="24"/>
        </w:rPr>
        <w:t xml:space="preserve">对所有有效投标文件的商务条件进行审核和评价，填写《商务评分表》，如下： </w:t>
      </w:r>
    </w:p>
    <w:tbl>
      <w:tblPr>
        <w:tblStyle w:val="14"/>
        <w:tblW w:w="9624" w:type="dxa"/>
        <w:tblInd w:w="0" w:type="dxa"/>
        <w:shd w:val="clear" w:color="auto" w:fill="auto"/>
        <w:tblLayout w:type="fixed"/>
        <w:tblCellMar>
          <w:top w:w="0" w:type="dxa"/>
          <w:left w:w="108" w:type="dxa"/>
          <w:bottom w:w="0" w:type="dxa"/>
          <w:right w:w="108" w:type="dxa"/>
        </w:tblCellMar>
      </w:tblPr>
      <w:tblGrid>
        <w:gridCol w:w="1789"/>
        <w:gridCol w:w="2093"/>
        <w:gridCol w:w="5742"/>
      </w:tblGrid>
      <w:tr>
        <w:tblPrEx>
          <w:shd w:val="clear" w:color="auto" w:fill="auto"/>
          <w:tblLayout w:type="fixed"/>
          <w:tblCellMar>
            <w:top w:w="0" w:type="dxa"/>
            <w:left w:w="108" w:type="dxa"/>
            <w:bottom w:w="0" w:type="dxa"/>
            <w:right w:w="108" w:type="dxa"/>
          </w:tblCellMar>
        </w:tblPrEx>
        <w:trPr>
          <w:trHeight w:val="585" w:hRule="atLeast"/>
        </w:trPr>
        <w:tc>
          <w:tcPr>
            <w:tcW w:w="178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            （</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0分</w:t>
            </w:r>
            <w:r>
              <w:rPr>
                <w:rStyle w:val="41"/>
                <w:lang w:val="en-US" w:eastAsia="zh-CN" w:bidi="ar"/>
              </w:rPr>
              <w:t>）</w:t>
            </w:r>
          </w:p>
        </w:tc>
        <w:tc>
          <w:tcPr>
            <w:tcW w:w="209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评审内容</w:t>
            </w:r>
          </w:p>
        </w:tc>
        <w:tc>
          <w:tcPr>
            <w:tcW w:w="574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评分细则</w:t>
            </w:r>
          </w:p>
        </w:tc>
      </w:tr>
      <w:tr>
        <w:tblPrEx>
          <w:tblLayout w:type="fixed"/>
          <w:tblCellMar>
            <w:top w:w="0" w:type="dxa"/>
            <w:left w:w="108" w:type="dxa"/>
            <w:bottom w:w="0" w:type="dxa"/>
            <w:right w:w="108" w:type="dxa"/>
          </w:tblCellMar>
        </w:tblPrEx>
        <w:trPr>
          <w:trHeight w:val="420" w:hRule="atLeast"/>
        </w:trPr>
        <w:tc>
          <w:tcPr>
            <w:tcW w:w="1789"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w:t>
            </w:r>
          </w:p>
        </w:tc>
        <w:tc>
          <w:tcPr>
            <w:tcW w:w="2093"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财务状况</w:t>
            </w:r>
          </w:p>
        </w:tc>
        <w:tc>
          <w:tcPr>
            <w:tcW w:w="574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w:t>
            </w:r>
            <w:r>
              <w:rPr>
                <w:rFonts w:hint="eastAsia" w:ascii="宋体" w:hAnsi="宋体" w:cs="宋体"/>
                <w:i w:val="0"/>
                <w:iCs w:val="0"/>
                <w:color w:val="000000"/>
                <w:kern w:val="0"/>
                <w:sz w:val="24"/>
                <w:szCs w:val="24"/>
                <w:u w:val="none"/>
                <w:lang w:val="en-US" w:eastAsia="zh-CN" w:bidi="ar"/>
              </w:rPr>
              <w:t>近3年中一年由</w:t>
            </w:r>
            <w:r>
              <w:rPr>
                <w:rFonts w:hint="eastAsia" w:ascii="宋体" w:hAnsi="宋体" w:eastAsia="宋体" w:cs="宋体"/>
                <w:i w:val="0"/>
                <w:iCs w:val="0"/>
                <w:color w:val="000000"/>
                <w:kern w:val="0"/>
                <w:sz w:val="24"/>
                <w:szCs w:val="24"/>
                <w:u w:val="none"/>
                <w:lang w:val="en-US" w:eastAsia="zh-CN" w:bidi="ar"/>
              </w:rPr>
              <w:t>第三方单位出具的财务报告复印件；年营业收入</w:t>
            </w:r>
            <w:r>
              <w:rPr>
                <w:rFonts w:hint="eastAsia" w:ascii="宋体" w:hAnsi="宋体" w:cs="宋体"/>
                <w:i w:val="0"/>
                <w:iCs w:val="0"/>
                <w:color w:val="000000"/>
                <w:kern w:val="0"/>
                <w:sz w:val="24"/>
                <w:szCs w:val="24"/>
                <w:u w:val="none"/>
                <w:lang w:val="en-US" w:eastAsia="zh-CN" w:bidi="ar"/>
              </w:rPr>
              <w:t>每1000万元得1分，最高得6分</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（如为外币，按当日中国人民银行公布的汇率的中间价计算为等值人民币））</w:t>
            </w:r>
          </w:p>
        </w:tc>
      </w:tr>
      <w:tr>
        <w:tblPrEx>
          <w:tblLayout w:type="fixed"/>
          <w:tblCellMar>
            <w:top w:w="0" w:type="dxa"/>
            <w:left w:w="108" w:type="dxa"/>
            <w:bottom w:w="0" w:type="dxa"/>
            <w:right w:w="108" w:type="dxa"/>
          </w:tblCellMar>
        </w:tblPrEx>
        <w:trPr>
          <w:trHeight w:val="1100"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390" w:hRule="atLeast"/>
        </w:trPr>
        <w:tc>
          <w:tcPr>
            <w:tcW w:w="1789"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093"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项目业绩</w:t>
            </w:r>
          </w:p>
        </w:tc>
        <w:tc>
          <w:tcPr>
            <w:tcW w:w="574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投标人提供2017年1月1日至投标截止时间前（以合同签订时间为准）的同类型项目业绩合同，每提供一个得2分，本项最高得6分。【需提供相应合同复印件</w:t>
            </w:r>
            <w:r>
              <w:rPr>
                <w:rFonts w:hint="eastAsia" w:ascii="宋体" w:hAnsi="宋体" w:cs="宋体"/>
                <w:i w:val="0"/>
                <w:iCs w:val="0"/>
                <w:color w:val="000000"/>
                <w:kern w:val="0"/>
                <w:sz w:val="24"/>
                <w:szCs w:val="24"/>
                <w:u w:val="none"/>
                <w:lang w:val="en-US" w:eastAsia="zh-CN" w:bidi="ar"/>
              </w:rPr>
              <w:t>或</w:t>
            </w:r>
            <w:r>
              <w:rPr>
                <w:rFonts w:hint="eastAsia" w:ascii="宋体" w:hAnsi="宋体" w:eastAsia="宋体" w:cs="宋体"/>
                <w:i w:val="0"/>
                <w:iCs w:val="0"/>
                <w:color w:val="000000"/>
                <w:kern w:val="0"/>
                <w:sz w:val="24"/>
                <w:szCs w:val="24"/>
                <w:u w:val="none"/>
                <w:lang w:val="en-US" w:eastAsia="zh-CN" w:bidi="ar"/>
              </w:rPr>
              <w:t>中标通知书，原件提交评标委员会现场查验，未按要求提供不计分。】</w:t>
            </w:r>
          </w:p>
        </w:tc>
      </w:tr>
      <w:tr>
        <w:tblPrEx>
          <w:tblLayout w:type="fixed"/>
          <w:tblCellMar>
            <w:top w:w="0" w:type="dxa"/>
            <w:left w:w="108" w:type="dxa"/>
            <w:bottom w:w="0" w:type="dxa"/>
            <w:right w:w="108" w:type="dxa"/>
          </w:tblCellMar>
        </w:tblPrEx>
        <w:trPr>
          <w:trHeight w:val="780"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390" w:hRule="atLeast"/>
        </w:trPr>
        <w:tc>
          <w:tcPr>
            <w:tcW w:w="1789"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093"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人员状况</w:t>
            </w:r>
          </w:p>
        </w:tc>
        <w:tc>
          <w:tcPr>
            <w:tcW w:w="574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投标人拟投入本项目的项目负责人、服务人员、财务人员，得2分。</w:t>
            </w:r>
            <w:r>
              <w:rPr>
                <w:rFonts w:hint="eastAsia" w:ascii="宋体" w:hAnsi="宋体" w:cs="宋体"/>
                <w:i w:val="0"/>
                <w:iCs w:val="0"/>
                <w:color w:val="000000"/>
                <w:kern w:val="0"/>
                <w:sz w:val="24"/>
                <w:szCs w:val="24"/>
                <w:u w:val="none"/>
                <w:lang w:val="en-US" w:eastAsia="zh-CN" w:bidi="ar"/>
              </w:rPr>
              <w:t>没有</w:t>
            </w:r>
            <w:r>
              <w:rPr>
                <w:rFonts w:hint="eastAsia" w:ascii="宋体" w:hAnsi="宋体" w:eastAsia="宋体" w:cs="宋体"/>
                <w:i w:val="0"/>
                <w:iCs w:val="0"/>
                <w:color w:val="000000"/>
                <w:kern w:val="0"/>
                <w:sz w:val="24"/>
                <w:szCs w:val="24"/>
                <w:u w:val="none"/>
                <w:lang w:val="en-US" w:eastAsia="zh-CN" w:bidi="ar"/>
              </w:rPr>
              <w:t>提供</w:t>
            </w:r>
            <w:r>
              <w:rPr>
                <w:rFonts w:hint="eastAsia" w:ascii="宋体" w:hAnsi="宋体" w:cs="宋体"/>
                <w:i w:val="0"/>
                <w:iCs w:val="0"/>
                <w:color w:val="000000"/>
                <w:kern w:val="0"/>
                <w:sz w:val="24"/>
                <w:szCs w:val="24"/>
                <w:u w:val="none"/>
                <w:lang w:val="en-US" w:eastAsia="zh-CN" w:bidi="ar"/>
              </w:rPr>
              <w:t>得0分。</w:t>
            </w:r>
            <w:r>
              <w:rPr>
                <w:rFonts w:hint="eastAsia" w:ascii="宋体" w:hAnsi="宋体" w:eastAsia="宋体" w:cs="宋体"/>
                <w:i w:val="0"/>
                <w:iCs w:val="0"/>
                <w:color w:val="000000"/>
                <w:kern w:val="0"/>
                <w:sz w:val="24"/>
                <w:szCs w:val="24"/>
                <w:u w:val="none"/>
                <w:lang w:val="en-US" w:eastAsia="zh-CN" w:bidi="ar"/>
              </w:rPr>
              <w:t>【需提供有效期内的</w:t>
            </w:r>
            <w:r>
              <w:rPr>
                <w:rFonts w:hint="eastAsia" w:ascii="宋体" w:hAnsi="宋体" w:cs="宋体"/>
                <w:i w:val="0"/>
                <w:iCs w:val="0"/>
                <w:color w:val="000000"/>
                <w:kern w:val="0"/>
                <w:sz w:val="24"/>
                <w:szCs w:val="24"/>
                <w:u w:val="none"/>
                <w:lang w:val="en-US" w:eastAsia="zh-CN" w:bidi="ar"/>
              </w:rPr>
              <w:t>投入人员拟定清单</w:t>
            </w:r>
            <w:r>
              <w:rPr>
                <w:rFonts w:hint="eastAsia" w:ascii="宋体" w:hAnsi="宋体" w:eastAsia="宋体" w:cs="宋体"/>
                <w:i w:val="0"/>
                <w:iCs w:val="0"/>
                <w:color w:val="000000"/>
                <w:kern w:val="0"/>
                <w:sz w:val="24"/>
                <w:szCs w:val="24"/>
                <w:u w:val="none"/>
                <w:lang w:val="en-US" w:eastAsia="zh-CN" w:bidi="ar"/>
              </w:rPr>
              <w:t>，未按要求提供不计分。】</w:t>
            </w:r>
          </w:p>
        </w:tc>
      </w:tr>
      <w:tr>
        <w:tblPrEx>
          <w:tblLayout w:type="fixed"/>
          <w:tblCellMar>
            <w:top w:w="0" w:type="dxa"/>
            <w:left w:w="108" w:type="dxa"/>
            <w:bottom w:w="0" w:type="dxa"/>
            <w:right w:w="108" w:type="dxa"/>
          </w:tblCellMar>
        </w:tblPrEx>
        <w:trPr>
          <w:trHeight w:val="765"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765" w:hRule="atLeast"/>
        </w:trPr>
        <w:tc>
          <w:tcPr>
            <w:tcW w:w="1789"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093"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公司规模实力</w:t>
            </w:r>
          </w:p>
        </w:tc>
        <w:tc>
          <w:tcPr>
            <w:tcW w:w="574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注册资金：注册资金</w:t>
            </w:r>
            <w:r>
              <w:rPr>
                <w:rFonts w:hint="eastAsia" w:ascii="宋体" w:hAnsi="宋体" w:cs="宋体"/>
                <w:i w:val="0"/>
                <w:iCs w:val="0"/>
                <w:color w:val="000000"/>
                <w:kern w:val="0"/>
                <w:sz w:val="24"/>
                <w:szCs w:val="24"/>
                <w:u w:val="none"/>
                <w:lang w:val="en-US" w:eastAsia="zh-CN" w:bidi="ar"/>
              </w:rPr>
              <w:t>每2000万得1分，最高得3分</w:t>
            </w:r>
            <w:r>
              <w:rPr>
                <w:rFonts w:hint="eastAsia" w:ascii="宋体" w:hAnsi="宋体" w:eastAsia="宋体" w:cs="宋体"/>
                <w:i w:val="0"/>
                <w:iCs w:val="0"/>
                <w:color w:val="000000"/>
                <w:kern w:val="0"/>
                <w:sz w:val="24"/>
                <w:szCs w:val="24"/>
                <w:u w:val="none"/>
                <w:lang w:val="en-US" w:eastAsia="zh-CN" w:bidi="ar"/>
              </w:rPr>
              <w:t>。投标人（或其总公司）的公司实缴资本每</w:t>
            </w:r>
            <w:r>
              <w:rPr>
                <w:rFonts w:hint="eastAsia" w:ascii="宋体" w:hAnsi="宋体" w:cs="宋体"/>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00万加</w:t>
            </w: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分，本项最高3分</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如实缴资本为外币，按发生（缴款）当日中国人民银行公布的汇率的中间价计算为等值人民币），注：提供国家企业信用信息公示系统（显示注册/实缴资本）或会计事务所出具的验资报告。提供营业执照同时应提供商事主体信息最新查询结果：其中包括显示经营范围、注册资本或实收资本等信资料信息的查询截屏，不按规定提供不得分。</w:t>
            </w:r>
          </w:p>
        </w:tc>
      </w:tr>
      <w:tr>
        <w:tblPrEx>
          <w:tblLayout w:type="fixed"/>
          <w:tblCellMar>
            <w:top w:w="0" w:type="dxa"/>
            <w:left w:w="108" w:type="dxa"/>
            <w:bottom w:w="0" w:type="dxa"/>
            <w:right w:w="108" w:type="dxa"/>
          </w:tblCellMar>
        </w:tblPrEx>
        <w:trPr>
          <w:trHeight w:val="390"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390"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390"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390" w:hRule="atLeast"/>
        </w:trPr>
        <w:tc>
          <w:tcPr>
            <w:tcW w:w="1789"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093"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企业责任</w:t>
            </w:r>
          </w:p>
        </w:tc>
        <w:tc>
          <w:tcPr>
            <w:tcW w:w="574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标人自2018年至投标截止时间前，购买过运输类保险，且累计保额≥3000万元的得2分，3000万元＞累计保额≥1000万元的得1分，其他情况不得分。（需提供相应保单证书复印件，缴纳保费发票，原件提交评标委员会现场查验，未按要求提供不得分。）</w:t>
            </w:r>
          </w:p>
        </w:tc>
      </w:tr>
      <w:tr>
        <w:tblPrEx>
          <w:tblLayout w:type="fixed"/>
          <w:tblCellMar>
            <w:top w:w="0" w:type="dxa"/>
            <w:left w:w="108" w:type="dxa"/>
            <w:bottom w:w="0" w:type="dxa"/>
            <w:right w:w="108" w:type="dxa"/>
          </w:tblCellMar>
        </w:tblPrEx>
        <w:trPr>
          <w:trHeight w:val="390"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Layout w:type="fixed"/>
          <w:tblCellMar>
            <w:top w:w="0" w:type="dxa"/>
            <w:left w:w="108" w:type="dxa"/>
            <w:bottom w:w="0" w:type="dxa"/>
            <w:right w:w="108" w:type="dxa"/>
          </w:tblCellMar>
        </w:tblPrEx>
        <w:trPr>
          <w:trHeight w:val="390" w:hRule="atLeast"/>
        </w:trPr>
        <w:tc>
          <w:tcPr>
            <w:tcW w:w="178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93"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r>
    </w:tbl>
    <w:p>
      <w:pPr>
        <w:rPr>
          <w:rFonts w:hint="eastAsia" w:ascii="宋体" w:hAnsi="宋体"/>
          <w:sz w:val="24"/>
          <w:szCs w:val="24"/>
        </w:rPr>
      </w:pPr>
    </w:p>
    <w:p>
      <w:pPr>
        <w:rPr>
          <w:rFonts w:ascii="宋体" w:hAnsi="宋体"/>
          <w:sz w:val="24"/>
          <w:szCs w:val="24"/>
        </w:rPr>
      </w:pPr>
      <w:bookmarkStart w:id="276" w:name="EBad375d09e134449cb510621631f20aa1"/>
      <w:r>
        <w:rPr>
          <w:rFonts w:ascii="宋体" w:hAnsi="宋体"/>
          <w:sz w:val="24"/>
          <w:szCs w:val="24"/>
        </w:rPr>
        <w:t xml:space="preserve"> </w:t>
      </w:r>
      <w:bookmarkEnd w:id="276"/>
    </w:p>
    <w:p>
      <w:pPr>
        <w:tabs>
          <w:tab w:val="left" w:pos="720"/>
          <w:tab w:val="left" w:pos="1080"/>
        </w:tabs>
        <w:spacing w:line="360" w:lineRule="auto"/>
        <w:rPr>
          <w:rFonts w:hint="eastAsia" w:ascii="宋体" w:hAnsi="宋体"/>
          <w:sz w:val="24"/>
          <w:szCs w:val="24"/>
        </w:rPr>
      </w:pPr>
      <w:r>
        <w:rPr>
          <w:rFonts w:hint="eastAsia" w:ascii="宋体" w:hAnsi="宋体"/>
          <w:sz w:val="24"/>
          <w:szCs w:val="24"/>
        </w:rPr>
        <w:t>说明：上表所列为投标人的商务条件。请投标人严格按照要求提交相关证明材料，否则有可能影响评审结果。</w:t>
      </w:r>
    </w:p>
    <w:p>
      <w:pPr>
        <w:numPr>
          <w:ilvl w:val="0"/>
          <w:numId w:val="0"/>
        </w:numPr>
        <w:tabs>
          <w:tab w:val="left" w:pos="0"/>
          <w:tab w:val="left" w:pos="709"/>
          <w:tab w:val="left" w:pos="1080"/>
        </w:tabs>
        <w:spacing w:line="360" w:lineRule="auto"/>
        <w:ind w:left="420" w:leftChars="0"/>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将所所评各项的得分进行算术，再得出该投标人的技术评分商务评分</w:t>
      </w:r>
    </w:p>
    <w:p>
      <w:pPr>
        <w:rPr>
          <w:rFonts w:hint="eastAsia" w:ascii="宋体" w:hAnsi="宋体"/>
          <w:sz w:val="20"/>
        </w:rPr>
      </w:pPr>
      <w:bookmarkStart w:id="277" w:name="EB5c8b89cc3ad8494791e32efc4e7c0949"/>
      <w:r>
        <w:rPr>
          <w:rFonts w:hint="eastAsia" w:ascii="宋体" w:hAnsi="宋体"/>
          <w:sz w:val="20"/>
        </w:rPr>
        <w:t xml:space="preserve"> </w:t>
      </w:r>
      <w:bookmarkEnd w:id="277"/>
      <w:bookmarkStart w:id="278" w:name="EB519f871fc172406a94d7d9f12e8dbe42"/>
      <w:r>
        <w:rPr>
          <w:rFonts w:hint="eastAsia" w:ascii="宋体" w:hAnsi="宋体"/>
          <w:sz w:val="20"/>
        </w:rPr>
        <w:t xml:space="preserve"> </w:t>
      </w:r>
      <w:bookmarkEnd w:id="278"/>
    </w:p>
    <w:p>
      <w:pPr>
        <w:numPr>
          <w:ilvl w:val="1"/>
          <w:numId w:val="15"/>
        </w:numPr>
        <w:spacing w:line="360" w:lineRule="auto"/>
        <w:rPr>
          <w:rFonts w:hint="eastAsia" w:ascii="宋体" w:hAnsi="宋体"/>
          <w:b/>
          <w:sz w:val="24"/>
          <w:szCs w:val="24"/>
        </w:rPr>
      </w:pPr>
      <w:bookmarkStart w:id="279" w:name="EBcc7fbbec3b114f9aaa47fa279b276e09"/>
      <w:r>
        <w:rPr>
          <w:rFonts w:ascii="宋体" w:hAnsi="宋体"/>
          <w:sz w:val="20"/>
          <w:szCs w:val="24"/>
        </w:rPr>
        <w:t xml:space="preserve"> </w:t>
      </w:r>
      <w:bookmarkEnd w:id="279"/>
      <w:bookmarkStart w:id="280" w:name="EB51edf9e2cca747ff97f0c0003946c793"/>
      <w:r>
        <w:rPr>
          <w:rFonts w:ascii="宋体" w:hAnsi="宋体"/>
          <w:sz w:val="20"/>
          <w:szCs w:val="24"/>
        </w:rPr>
        <w:t xml:space="preserve"> </w:t>
      </w:r>
      <w:bookmarkEnd w:id="280"/>
      <w:r>
        <w:rPr>
          <w:rFonts w:hint="eastAsia" w:ascii="宋体" w:hAnsi="宋体"/>
          <w:b/>
          <w:sz w:val="24"/>
          <w:szCs w:val="24"/>
        </w:rPr>
        <w:t>价格评审</w:t>
      </w:r>
    </w:p>
    <w:p>
      <w:pPr>
        <w:tabs>
          <w:tab w:val="left" w:pos="0"/>
          <w:tab w:val="left" w:pos="720"/>
          <w:tab w:val="left" w:pos="1080"/>
        </w:tabs>
        <w:spacing w:line="360" w:lineRule="auto"/>
        <w:ind w:left="420"/>
        <w:rPr>
          <w:rFonts w:hint="eastAsia" w:ascii="宋体" w:hAnsi="宋体"/>
          <w:sz w:val="20"/>
        </w:rPr>
      </w:pPr>
    </w:p>
    <w:p>
      <w:pPr>
        <w:numPr>
          <w:ilvl w:val="0"/>
          <w:numId w:val="18"/>
        </w:numPr>
        <w:tabs>
          <w:tab w:val="left" w:pos="0"/>
          <w:tab w:val="left" w:pos="720"/>
          <w:tab w:val="left" w:pos="1080"/>
        </w:tabs>
        <w:spacing w:line="360" w:lineRule="auto"/>
        <w:ind w:firstLine="480" w:firstLineChars="200"/>
        <w:rPr>
          <w:rFonts w:hint="eastAsia"/>
          <w:lang w:val="en-US" w:eastAsia="zh-CN"/>
        </w:rPr>
      </w:pPr>
      <w:r>
        <w:rPr>
          <w:rFonts w:hint="eastAsia" w:ascii="宋体" w:hAnsi="宋体"/>
          <w:sz w:val="24"/>
          <w:szCs w:val="24"/>
        </w:rPr>
        <w:t>价格核准：</w:t>
      </w:r>
      <w:r>
        <w:rPr>
          <w:rFonts w:hint="eastAsia"/>
          <w:sz w:val="24"/>
          <w:szCs w:val="24"/>
        </w:rPr>
        <w:t>评标委员会成员</w:t>
      </w:r>
      <w:r>
        <w:rPr>
          <w:rFonts w:hint="eastAsia" w:ascii="宋体" w:hAnsi="宋体"/>
          <w:sz w:val="24"/>
          <w:szCs w:val="24"/>
        </w:rPr>
        <w:t>对有效投标人的详细报价进行复核，看其是否有计算错误或供货范围上的错误，修正错误的原则参见本章的第三条第（二）点。</w:t>
      </w:r>
      <w:r>
        <w:rPr>
          <w:rFonts w:hint="eastAsia" w:ascii="宋体" w:hAnsi="宋体"/>
          <w:sz w:val="24"/>
          <w:szCs w:val="24"/>
          <w:lang w:val="en-US" w:eastAsia="zh-CN"/>
        </w:rPr>
        <w:t xml:space="preserve"> </w:t>
      </w:r>
    </w:p>
    <w:p>
      <w:pPr>
        <w:numPr>
          <w:ilvl w:val="0"/>
          <w:numId w:val="18"/>
        </w:numPr>
        <w:spacing w:after="100" w:afterAutospacing="1"/>
        <w:ind w:left="0" w:leftChars="0" w:firstLine="480" w:firstLineChars="200"/>
        <w:rPr>
          <w:rFonts w:hint="eastAsia"/>
          <w:lang w:val="en-US" w:eastAsia="zh-CN"/>
        </w:rPr>
      </w:pPr>
      <w:r>
        <w:rPr>
          <w:rFonts w:hint="eastAsia" w:ascii="宋体" w:hAnsi="宋体"/>
          <w:sz w:val="24"/>
          <w:szCs w:val="24"/>
          <w:lang w:val="en-US" w:eastAsia="zh-CN"/>
        </w:rPr>
        <w:t>报价格式：</w:t>
      </w:r>
    </w:p>
    <w:tbl>
      <w:tblPr>
        <w:tblStyle w:val="14"/>
        <w:tblW w:w="9628" w:type="dxa"/>
        <w:tblInd w:w="0" w:type="dxa"/>
        <w:shd w:val="clear" w:color="auto" w:fill="auto"/>
        <w:tblLayout w:type="fixed"/>
        <w:tblCellMar>
          <w:top w:w="0" w:type="dxa"/>
          <w:left w:w="108" w:type="dxa"/>
          <w:bottom w:w="0" w:type="dxa"/>
          <w:right w:w="108" w:type="dxa"/>
        </w:tblCellMar>
      </w:tblPr>
      <w:tblGrid>
        <w:gridCol w:w="2028"/>
        <w:gridCol w:w="1519"/>
        <w:gridCol w:w="1519"/>
        <w:gridCol w:w="1519"/>
        <w:gridCol w:w="1315"/>
        <w:gridCol w:w="1728"/>
      </w:tblGrid>
      <w:tr>
        <w:tblPrEx>
          <w:shd w:val="clear" w:color="auto" w:fill="auto"/>
          <w:tblLayout w:type="fixed"/>
          <w:tblCellMar>
            <w:top w:w="0" w:type="dxa"/>
            <w:left w:w="108" w:type="dxa"/>
            <w:bottom w:w="0" w:type="dxa"/>
            <w:right w:w="108" w:type="dxa"/>
          </w:tblCellMar>
        </w:tblPrEx>
        <w:trPr>
          <w:trHeight w:val="270" w:hRule="atLeast"/>
        </w:trPr>
        <w:tc>
          <w:tcPr>
            <w:tcW w:w="9628"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广缆整车配送至芜湖</w:t>
            </w:r>
            <w:r>
              <w:rPr>
                <w:rFonts w:hint="eastAsia" w:ascii="宋体" w:hAnsi="宋体" w:cs="宋体"/>
                <w:i w:val="0"/>
                <w:iCs w:val="0"/>
                <w:color w:val="000000"/>
                <w:kern w:val="0"/>
                <w:sz w:val="22"/>
                <w:szCs w:val="22"/>
                <w:u w:val="none"/>
                <w:lang w:val="en-US" w:eastAsia="zh-CN" w:bidi="ar"/>
              </w:rPr>
              <w:t>仓</w:t>
            </w:r>
          </w:p>
        </w:tc>
      </w:tr>
      <w:tr>
        <w:tblPrEx>
          <w:tblLayout w:type="fixed"/>
          <w:tblCellMar>
            <w:top w:w="0" w:type="dxa"/>
            <w:left w:w="108" w:type="dxa"/>
            <w:bottom w:w="0" w:type="dxa"/>
            <w:right w:w="108" w:type="dxa"/>
          </w:tblCellMar>
        </w:tblPrEx>
        <w:trPr>
          <w:trHeight w:val="270" w:hRule="atLeast"/>
        </w:trPr>
        <w:tc>
          <w:tcPr>
            <w:tcW w:w="962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月份</w:t>
            </w:r>
          </w:p>
        </w:tc>
        <w:tc>
          <w:tcPr>
            <w:tcW w:w="7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运输次数</w:t>
            </w:r>
          </w:p>
        </w:tc>
      </w:tr>
      <w:tr>
        <w:tblPrEx>
          <w:tblLayout w:type="fixed"/>
          <w:tblCellMar>
            <w:top w:w="0" w:type="dxa"/>
            <w:left w:w="108" w:type="dxa"/>
            <w:bottom w:w="0" w:type="dxa"/>
            <w:right w:w="108" w:type="dxa"/>
          </w:tblCellMar>
        </w:tblPrEx>
        <w:trPr>
          <w:trHeight w:val="270" w:hRule="atLeast"/>
        </w:trPr>
        <w:tc>
          <w:tcPr>
            <w:tcW w:w="2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4.2米</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6.8米</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9.6米</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13米</w:t>
            </w: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17.5米</w:t>
            </w: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2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3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4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4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321"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12月</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 xml:space="preserve">5 </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汇总</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车型单价</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车型总价</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总价</w:t>
            </w:r>
          </w:p>
        </w:tc>
        <w:tc>
          <w:tcPr>
            <w:tcW w:w="76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spacing w:after="100" w:afterAutospacing="1"/>
        <w:rPr>
          <w:rFonts w:hint="default" w:ascii="宋体" w:hAnsi="宋体" w:eastAsia="宋体"/>
          <w:sz w:val="20"/>
          <w:szCs w:val="24"/>
          <w:lang w:val="en-US" w:eastAsia="zh-CN"/>
        </w:rPr>
      </w:pPr>
    </w:p>
    <w:p>
      <w:pPr>
        <w:pStyle w:val="2"/>
        <w:rPr>
          <w:rFonts w:hint="default"/>
          <w:lang w:val="en-US" w:eastAsia="zh-CN"/>
        </w:rPr>
      </w:pPr>
    </w:p>
    <w:tbl>
      <w:tblPr>
        <w:tblStyle w:val="14"/>
        <w:tblW w:w="9628" w:type="dxa"/>
        <w:tblInd w:w="0" w:type="dxa"/>
        <w:shd w:val="clear" w:color="auto" w:fill="auto"/>
        <w:tblLayout w:type="fixed"/>
        <w:tblCellMar>
          <w:top w:w="0" w:type="dxa"/>
          <w:left w:w="108" w:type="dxa"/>
          <w:bottom w:w="0" w:type="dxa"/>
          <w:right w:w="108" w:type="dxa"/>
        </w:tblCellMar>
      </w:tblPr>
      <w:tblGrid>
        <w:gridCol w:w="2290"/>
        <w:gridCol w:w="7338"/>
      </w:tblGrid>
      <w:tr>
        <w:tblPrEx>
          <w:shd w:val="clear" w:color="auto" w:fill="auto"/>
          <w:tblLayout w:type="fixed"/>
          <w:tblCellMar>
            <w:top w:w="0" w:type="dxa"/>
            <w:left w:w="108" w:type="dxa"/>
            <w:bottom w:w="0" w:type="dxa"/>
            <w:right w:w="108" w:type="dxa"/>
          </w:tblCellMar>
        </w:tblPrEx>
        <w:trPr>
          <w:trHeight w:val="270" w:hRule="atLeast"/>
        </w:trPr>
        <w:tc>
          <w:tcPr>
            <w:tcW w:w="96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芜湖仓储费用</w:t>
            </w:r>
          </w:p>
        </w:tc>
      </w:tr>
      <w:tr>
        <w:tblPrEx>
          <w:tblLayout w:type="fixed"/>
          <w:tblCellMar>
            <w:top w:w="0" w:type="dxa"/>
            <w:left w:w="108" w:type="dxa"/>
            <w:bottom w:w="0" w:type="dxa"/>
            <w:right w:w="108" w:type="dxa"/>
          </w:tblCellMar>
        </w:tblPrEx>
        <w:trPr>
          <w:trHeight w:val="270" w:hRule="atLeast"/>
        </w:trPr>
        <w:tc>
          <w:tcPr>
            <w:tcW w:w="96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月份</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仓储费用（380㎡）</w:t>
            </w: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12月</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315" w:hRule="atLeast"/>
        </w:trPr>
        <w:tc>
          <w:tcPr>
            <w:tcW w:w="2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总费用</w:t>
            </w:r>
          </w:p>
        </w:tc>
        <w:tc>
          <w:tcPr>
            <w:tcW w:w="73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9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2712"/>
              </w:tabs>
              <w:jc w:val="left"/>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ab/>
            </w:r>
            <w:r>
              <w:rPr>
                <w:rFonts w:hint="eastAsia" w:ascii="宋体" w:hAnsi="宋体" w:cs="宋体"/>
                <w:i w:val="0"/>
                <w:iCs w:val="0"/>
                <w:color w:val="000000"/>
                <w:sz w:val="22"/>
                <w:szCs w:val="22"/>
                <w:u w:val="none"/>
                <w:lang w:eastAsia="zh-CN"/>
              </w:rPr>
              <w:t>费用包含仓库租赁费用、管理费用、人工费用等一切仓储费用</w:t>
            </w:r>
          </w:p>
        </w:tc>
      </w:tr>
    </w:tbl>
    <w:p>
      <w:pPr>
        <w:pStyle w:val="2"/>
        <w:rPr>
          <w:rFonts w:hint="default"/>
          <w:lang w:val="en-US" w:eastAsia="zh-CN"/>
        </w:rPr>
      </w:pPr>
    </w:p>
    <w:tbl>
      <w:tblPr>
        <w:tblStyle w:val="14"/>
        <w:tblW w:w="9628" w:type="dxa"/>
        <w:tblInd w:w="0" w:type="dxa"/>
        <w:shd w:val="clear" w:color="auto" w:fill="auto"/>
        <w:tblLayout w:type="fixed"/>
        <w:tblCellMar>
          <w:top w:w="0" w:type="dxa"/>
          <w:left w:w="108" w:type="dxa"/>
          <w:bottom w:w="0" w:type="dxa"/>
          <w:right w:w="108" w:type="dxa"/>
        </w:tblCellMar>
      </w:tblPr>
      <w:tblGrid>
        <w:gridCol w:w="748"/>
        <w:gridCol w:w="2689"/>
        <w:gridCol w:w="1231"/>
        <w:gridCol w:w="1188"/>
        <w:gridCol w:w="1823"/>
        <w:gridCol w:w="1949"/>
      </w:tblGrid>
      <w:tr>
        <w:tblPrEx>
          <w:shd w:val="clear" w:color="auto" w:fill="auto"/>
          <w:tblLayout w:type="fixed"/>
          <w:tblCellMar>
            <w:top w:w="0" w:type="dxa"/>
            <w:left w:w="108" w:type="dxa"/>
            <w:bottom w:w="0" w:type="dxa"/>
            <w:right w:w="108" w:type="dxa"/>
          </w:tblCellMar>
        </w:tblPrEx>
        <w:trPr>
          <w:trHeight w:val="270" w:hRule="atLeast"/>
        </w:trPr>
        <w:tc>
          <w:tcPr>
            <w:tcW w:w="962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芜湖仓运输报价</w:t>
            </w:r>
          </w:p>
        </w:tc>
      </w:tr>
      <w:tr>
        <w:tblPrEx>
          <w:tblLayout w:type="fixed"/>
          <w:tblCellMar>
            <w:top w:w="0" w:type="dxa"/>
            <w:left w:w="108" w:type="dxa"/>
            <w:bottom w:w="0" w:type="dxa"/>
            <w:right w:w="108" w:type="dxa"/>
          </w:tblCellMar>
        </w:tblPrEx>
        <w:trPr>
          <w:trHeight w:val="375"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客户区域</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地址</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面包车（次）</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4.2米（次）</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面包车价格（元/次）</w:t>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4.2米车价格（元/次）</w:t>
            </w:r>
          </w:p>
        </w:tc>
      </w:tr>
      <w:tr>
        <w:tblPrEx>
          <w:tblLayout w:type="fixed"/>
          <w:tblCellMar>
            <w:top w:w="0" w:type="dxa"/>
            <w:left w:w="108" w:type="dxa"/>
            <w:bottom w:w="0" w:type="dxa"/>
            <w:right w:w="108" w:type="dxa"/>
          </w:tblCellMar>
        </w:tblPrEx>
        <w:trPr>
          <w:trHeight w:val="375"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芜湖市</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芜湖市经济开发区凤鸣湖北路36号</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465</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33</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375"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芜湖市</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Style w:val="42"/>
                <w:lang w:val="en-US" w:eastAsia="zh-CN" w:bidi="ar"/>
              </w:rPr>
              <w:t>安徽省芜湖市经济技术开发区万春路</w:t>
            </w:r>
            <w:r>
              <w:rPr>
                <w:rStyle w:val="43"/>
                <w:rFonts w:eastAsia="宋体"/>
                <w:lang w:val="en-US" w:eastAsia="zh-CN" w:bidi="ar"/>
              </w:rPr>
              <w:t>37</w:t>
            </w:r>
            <w:r>
              <w:rPr>
                <w:rStyle w:val="42"/>
                <w:lang w:val="en-US" w:eastAsia="zh-CN" w:bidi="ar"/>
              </w:rPr>
              <w:t>号</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193</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125</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820"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芜湖市</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Style w:val="42"/>
                <w:lang w:val="en-US" w:eastAsia="zh-CN" w:bidi="ar"/>
              </w:rPr>
              <w:t>芜湖市鸠江区龙山街道衡山路</w:t>
            </w:r>
            <w:r>
              <w:rPr>
                <w:rStyle w:val="43"/>
                <w:rFonts w:eastAsia="宋体"/>
                <w:lang w:val="en-US" w:eastAsia="zh-CN" w:bidi="ar"/>
              </w:rPr>
              <w:t>35</w:t>
            </w:r>
            <w:r>
              <w:rPr>
                <w:rStyle w:val="42"/>
                <w:lang w:val="en-US" w:eastAsia="zh-CN" w:bidi="ar"/>
              </w:rPr>
              <w:t>号</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31</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0</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375"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芜湖市</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Style w:val="42"/>
                <w:lang w:val="en-US" w:eastAsia="zh-CN" w:bidi="ar"/>
              </w:rPr>
              <w:t>芜湖市弋江区晴云路</w:t>
            </w:r>
            <w:r>
              <w:rPr>
                <w:rStyle w:val="43"/>
                <w:rFonts w:eastAsia="宋体"/>
                <w:lang w:val="en-US" w:eastAsia="zh-CN" w:bidi="ar"/>
              </w:rPr>
              <w:t>7</w:t>
            </w:r>
            <w:r>
              <w:rPr>
                <w:rStyle w:val="42"/>
                <w:lang w:val="en-US" w:eastAsia="zh-CN" w:bidi="ar"/>
              </w:rPr>
              <w:t>号</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61</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69</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375"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芜湖市</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Style w:val="42"/>
                <w:lang w:val="en-US" w:eastAsia="zh-CN" w:bidi="ar"/>
              </w:rPr>
              <w:t>芜湖市鸠江区福达工业园</w:t>
            </w:r>
            <w:r>
              <w:rPr>
                <w:rStyle w:val="43"/>
                <w:rFonts w:eastAsia="宋体"/>
                <w:lang w:val="en-US" w:eastAsia="zh-CN" w:bidi="ar"/>
              </w:rPr>
              <w:t>3-3#</w:t>
            </w:r>
            <w:r>
              <w:rPr>
                <w:rStyle w:val="42"/>
                <w:lang w:val="en-US" w:eastAsia="zh-CN" w:bidi="ar"/>
              </w:rPr>
              <w:t>厂房</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16</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375"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巢湖市</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Style w:val="42"/>
                <w:lang w:val="en-US" w:eastAsia="zh-CN" w:bidi="ar"/>
              </w:rPr>
              <w:t>巢湖经济开发区花山工业园振兴路以北</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7</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375"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总金额:</w:t>
            </w:r>
          </w:p>
        </w:tc>
        <w:tc>
          <w:tcPr>
            <w:tcW w:w="8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2"/>
                <w:szCs w:val="22"/>
                <w:u w:val="none"/>
              </w:rPr>
            </w:pPr>
          </w:p>
        </w:tc>
      </w:tr>
      <w:tr>
        <w:tblPrEx>
          <w:tblLayout w:type="fixed"/>
          <w:tblCellMar>
            <w:top w:w="0" w:type="dxa"/>
            <w:left w:w="108" w:type="dxa"/>
            <w:bottom w:w="0" w:type="dxa"/>
            <w:right w:w="108" w:type="dxa"/>
          </w:tblCellMar>
        </w:tblPrEx>
        <w:trPr>
          <w:trHeight w:val="900" w:hRule="atLeast"/>
        </w:trPr>
        <w:tc>
          <w:tcPr>
            <w:tcW w:w="962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备注：1.保证送货质量送货人员需为长期固定；2.送货单需要物流负责打印签收；3.物流负责货物装卸摆放至客户指定的位置；4.送货后需要将客户已用的包装盘具运回仓库内存放</w:t>
            </w:r>
          </w:p>
        </w:tc>
      </w:tr>
    </w:tbl>
    <w:p>
      <w:pPr>
        <w:pStyle w:val="2"/>
        <w:rPr>
          <w:rFonts w:hint="default"/>
          <w:lang w:val="en-US" w:eastAsia="zh-CN"/>
        </w:rPr>
      </w:pPr>
    </w:p>
    <w:p>
      <w:pPr>
        <w:pStyle w:val="2"/>
        <w:rPr>
          <w:rFonts w:hint="default"/>
          <w:lang w:val="en-US" w:eastAsia="zh-CN"/>
        </w:rPr>
      </w:pPr>
    </w:p>
    <w:p>
      <w:pPr>
        <w:pStyle w:val="2"/>
        <w:rPr>
          <w:rFonts w:hint="default"/>
          <w:lang w:val="en-US" w:eastAsia="zh-CN"/>
        </w:rPr>
      </w:pPr>
    </w:p>
    <w:tbl>
      <w:tblPr>
        <w:tblStyle w:val="14"/>
        <w:tblW w:w="9628" w:type="dxa"/>
        <w:tblInd w:w="0" w:type="dxa"/>
        <w:shd w:val="clear" w:color="auto" w:fill="auto"/>
        <w:tblLayout w:type="fixed"/>
        <w:tblCellMar>
          <w:top w:w="0" w:type="dxa"/>
          <w:left w:w="108" w:type="dxa"/>
          <w:bottom w:w="0" w:type="dxa"/>
          <w:right w:w="108" w:type="dxa"/>
        </w:tblCellMar>
      </w:tblPr>
      <w:tblGrid>
        <w:gridCol w:w="1382"/>
        <w:gridCol w:w="2507"/>
        <w:gridCol w:w="1583"/>
        <w:gridCol w:w="2280"/>
        <w:gridCol w:w="934"/>
        <w:gridCol w:w="942"/>
      </w:tblGrid>
      <w:tr>
        <w:tblPrEx>
          <w:shd w:val="clear" w:color="auto" w:fill="auto"/>
          <w:tblLayout w:type="fixed"/>
          <w:tblCellMar>
            <w:top w:w="0" w:type="dxa"/>
            <w:left w:w="108" w:type="dxa"/>
            <w:bottom w:w="0" w:type="dxa"/>
            <w:right w:w="108" w:type="dxa"/>
          </w:tblCellMar>
        </w:tblPrEx>
        <w:trPr>
          <w:trHeight w:val="270" w:hRule="atLeast"/>
        </w:trPr>
        <w:tc>
          <w:tcPr>
            <w:tcW w:w="9628" w:type="dxa"/>
            <w:gridSpan w:val="6"/>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包装材料运输报价</w:t>
            </w:r>
          </w:p>
        </w:tc>
      </w:tr>
      <w:tr>
        <w:tblPrEx>
          <w:tblLayout w:type="fixed"/>
          <w:tblCellMar>
            <w:top w:w="0" w:type="dxa"/>
            <w:left w:w="108" w:type="dxa"/>
            <w:bottom w:w="0" w:type="dxa"/>
            <w:right w:w="108" w:type="dxa"/>
          </w:tblCellMar>
        </w:tblPrEx>
        <w:trPr>
          <w:trHeight w:val="375" w:hRule="atLeast"/>
        </w:trPr>
        <w:tc>
          <w:tcPr>
            <w:tcW w:w="138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包装明细</w:t>
            </w:r>
          </w:p>
        </w:tc>
        <w:tc>
          <w:tcPr>
            <w:tcW w:w="250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158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重量（KG）</w:t>
            </w:r>
          </w:p>
        </w:tc>
        <w:tc>
          <w:tcPr>
            <w:tcW w:w="2280" w:type="dxa"/>
            <w:tcBorders>
              <w:top w:val="nil"/>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年运量（个）</w:t>
            </w:r>
          </w:p>
        </w:tc>
        <w:tc>
          <w:tcPr>
            <w:tcW w:w="934" w:type="dxa"/>
            <w:tcBorders>
              <w:top w:val="nil"/>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单价</w:t>
            </w:r>
          </w:p>
        </w:tc>
        <w:tc>
          <w:tcPr>
            <w:tcW w:w="942" w:type="dxa"/>
            <w:tcBorders>
              <w:top w:val="nil"/>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总价</w:t>
            </w:r>
          </w:p>
        </w:tc>
      </w:tr>
      <w:tr>
        <w:tblPrEx>
          <w:tblLayout w:type="fixed"/>
          <w:tblCellMar>
            <w:top w:w="0" w:type="dxa"/>
            <w:left w:w="108" w:type="dxa"/>
            <w:bottom w:w="0" w:type="dxa"/>
            <w:right w:w="108" w:type="dxa"/>
          </w:tblCellMar>
        </w:tblPrEx>
        <w:trPr>
          <w:trHeight w:val="270" w:hRule="atLeast"/>
        </w:trPr>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0.3米盘</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0.3m*0.3m*0.2m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49437</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0.5米盘</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0.5m*0.5m*0.35m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579</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0.63米盘</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0.63m*0.63m*0.4m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467</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托盘</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0.85m*0.85m*0.15m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纸皮</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1m³</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36.808</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tblPrEx>
          <w:tblLayout w:type="fixed"/>
          <w:tblCellMar>
            <w:top w:w="0" w:type="dxa"/>
            <w:left w:w="108" w:type="dxa"/>
            <w:bottom w:w="0" w:type="dxa"/>
            <w:right w:w="108" w:type="dxa"/>
          </w:tblCellMar>
        </w:tblPrEx>
        <w:trPr>
          <w:trHeight w:val="270" w:hRule="atLeast"/>
        </w:trPr>
        <w:tc>
          <w:tcPr>
            <w:tcW w:w="1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总金额:</w:t>
            </w:r>
          </w:p>
        </w:tc>
        <w:tc>
          <w:tcPr>
            <w:tcW w:w="8246" w:type="dxa"/>
            <w:gridSpan w:val="5"/>
            <w:tcBorders>
              <w:top w:val="single" w:color="000000" w:sz="4" w:space="0"/>
              <w:left w:val="single" w:color="000000" w:sz="4" w:space="0"/>
              <w:bottom w:val="single" w:color="000000" w:sz="4" w:space="0"/>
              <w:right w:val="nil"/>
            </w:tcBorders>
            <w:shd w:val="clear" w:color="auto" w:fill="auto"/>
            <w:vAlign w:val="center"/>
          </w:tcPr>
          <w:p>
            <w:pPr>
              <w:rPr>
                <w:rFonts w:hint="eastAsia" w:ascii="宋体" w:hAnsi="宋体" w:eastAsia="宋体" w:cs="宋体"/>
                <w:i w:val="0"/>
                <w:iCs w:val="0"/>
                <w:color w:val="000000"/>
                <w:sz w:val="22"/>
                <w:szCs w:val="22"/>
                <w:u w:val="none"/>
              </w:rPr>
            </w:pPr>
          </w:p>
        </w:tc>
      </w:tr>
    </w:tbl>
    <w:p>
      <w:pPr>
        <w:pStyle w:val="2"/>
        <w:rPr>
          <w:rFonts w:hint="default"/>
          <w:lang w:val="en-US" w:eastAsia="zh-CN"/>
        </w:rPr>
      </w:pPr>
    </w:p>
    <w:p>
      <w:pPr>
        <w:numPr>
          <w:ilvl w:val="0"/>
          <w:numId w:val="0"/>
        </w:numPr>
        <w:spacing w:line="360" w:lineRule="auto"/>
        <w:ind w:leftChars="0"/>
        <w:rPr>
          <w:rFonts w:hint="eastAsia" w:ascii="Times New Roman" w:hAnsi="宋体"/>
          <w:b w:val="0"/>
          <w:bCs/>
          <w:sz w:val="24"/>
          <w:szCs w:val="24"/>
          <w:lang w:eastAsia="zh-CN"/>
        </w:rPr>
      </w:pPr>
      <w:r>
        <w:rPr>
          <w:rFonts w:hint="eastAsia" w:ascii="Times New Roman" w:hAnsi="宋体"/>
          <w:b/>
          <w:sz w:val="24"/>
          <w:szCs w:val="24"/>
          <w:lang w:val="en-US" w:eastAsia="zh-CN"/>
        </w:rPr>
        <w:t>退货费用：</w:t>
      </w:r>
      <w:r>
        <w:rPr>
          <w:rFonts w:hint="eastAsia" w:ascii="Times New Roman" w:hAnsi="宋体"/>
          <w:b w:val="0"/>
          <w:bCs/>
          <w:sz w:val="24"/>
          <w:szCs w:val="24"/>
          <w:lang w:eastAsia="zh-CN"/>
        </w:rPr>
        <w:t>当甲方要求退货时，乙方免费将客户退货产品退至乙方芜湖仓库内。</w:t>
      </w:r>
    </w:p>
    <w:p>
      <w:pPr>
        <w:numPr>
          <w:ilvl w:val="0"/>
          <w:numId w:val="0"/>
        </w:numPr>
        <w:spacing w:line="360" w:lineRule="auto"/>
        <w:ind w:leftChars="0"/>
        <w:rPr>
          <w:rFonts w:hint="eastAsia" w:ascii="宋体" w:hAnsi="宋体" w:eastAsia="宋体" w:cs="宋体"/>
          <w:i w:val="0"/>
          <w:iCs w:val="0"/>
          <w:color w:val="000000"/>
          <w:kern w:val="0"/>
          <w:sz w:val="22"/>
          <w:szCs w:val="22"/>
          <w:u w:val="none"/>
          <w:lang w:val="en-US" w:eastAsia="zh-CN" w:bidi="ar"/>
        </w:rPr>
      </w:pPr>
      <w:r>
        <w:rPr>
          <w:rFonts w:hint="eastAsia" w:ascii="Times New Roman" w:hAnsi="宋体"/>
          <w:b w:val="0"/>
          <w:bCs/>
          <w:sz w:val="24"/>
          <w:szCs w:val="24"/>
          <w:lang w:eastAsia="zh-CN"/>
        </w:rPr>
        <w:t>芜湖仓库退货至</w:t>
      </w:r>
      <w:r>
        <w:rPr>
          <w:rFonts w:hint="eastAsia" w:ascii="宋体" w:hAnsi="宋体" w:eastAsia="宋体" w:cs="宋体"/>
          <w:i w:val="0"/>
          <w:iCs w:val="0"/>
          <w:color w:val="000000"/>
          <w:kern w:val="0"/>
          <w:sz w:val="22"/>
          <w:szCs w:val="22"/>
          <w:u w:val="none"/>
          <w:lang w:val="en-US" w:eastAsia="zh-CN" w:bidi="ar"/>
        </w:rPr>
        <w:t>广州市南沙区广州电缆厂内的费用按</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元/吨结算，费用包含装卸费增值税费等所有费用。</w:t>
      </w:r>
    </w:p>
    <w:p>
      <w:pPr>
        <w:numPr>
          <w:ilvl w:val="0"/>
          <w:numId w:val="0"/>
        </w:numPr>
        <w:spacing w:line="360" w:lineRule="auto"/>
        <w:ind w:leftChars="0"/>
        <w:rPr>
          <w:rFonts w:hint="eastAsia" w:ascii="Times New Roman" w:hAnsi="宋体"/>
          <w:b/>
          <w:sz w:val="24"/>
          <w:szCs w:val="24"/>
        </w:rPr>
      </w:pPr>
      <w:r>
        <w:rPr>
          <w:rFonts w:hint="eastAsia" w:ascii="Times New Roman" w:hAnsi="宋体"/>
          <w:b/>
          <w:sz w:val="24"/>
          <w:szCs w:val="24"/>
        </w:rPr>
        <w:t>车辆放空费</w:t>
      </w:r>
    </w:p>
    <w:p>
      <w:pPr>
        <w:spacing w:line="360" w:lineRule="auto"/>
        <w:rPr>
          <w:rFonts w:hint="eastAsia" w:ascii="Times New Roman" w:hAnsi="宋体"/>
          <w:sz w:val="24"/>
          <w:szCs w:val="24"/>
        </w:rPr>
      </w:pPr>
      <w:r>
        <w:rPr>
          <w:rFonts w:hint="eastAsia" w:ascii="Times New Roman" w:hAnsi="宋体"/>
          <w:sz w:val="24"/>
          <w:szCs w:val="24"/>
        </w:rPr>
        <w:t>由于甲方原因下单后又取消，导致乙方约车后产生车辆放空费用，甲方按如下金额赔付给乙方。</w:t>
      </w:r>
    </w:p>
    <w:tbl>
      <w:tblPr>
        <w:tblStyle w:val="14"/>
        <w:tblW w:w="9442" w:type="dxa"/>
        <w:tblInd w:w="0" w:type="dxa"/>
        <w:tblLayout w:type="fixed"/>
        <w:tblCellMar>
          <w:top w:w="15" w:type="dxa"/>
          <w:left w:w="15" w:type="dxa"/>
          <w:bottom w:w="15" w:type="dxa"/>
          <w:right w:w="15" w:type="dxa"/>
        </w:tblCellMar>
      </w:tblPr>
      <w:tblGrid>
        <w:gridCol w:w="2180"/>
        <w:gridCol w:w="1511"/>
        <w:gridCol w:w="1403"/>
        <w:gridCol w:w="1407"/>
        <w:gridCol w:w="1411"/>
        <w:gridCol w:w="1530"/>
      </w:tblGrid>
      <w:tr>
        <w:tblPrEx>
          <w:tblLayout w:type="fixed"/>
          <w:tblCellMar>
            <w:top w:w="15" w:type="dxa"/>
            <w:left w:w="15" w:type="dxa"/>
            <w:bottom w:w="15" w:type="dxa"/>
            <w:right w:w="15" w:type="dxa"/>
          </w:tblCellMar>
        </w:tblPrEx>
        <w:trPr>
          <w:trHeight w:val="286" w:hRule="atLeast"/>
        </w:trPr>
        <w:tc>
          <w:tcPr>
            <w:tcW w:w="2180" w:type="dxa"/>
            <w:tcBorders>
              <w:top w:val="single" w:color="000000" w:sz="12" w:space="0"/>
              <w:left w:val="single" w:color="000000" w:sz="12" w:space="0"/>
              <w:bottom w:val="single" w:color="000000" w:sz="12" w:space="0"/>
              <w:right w:val="single" w:color="000000" w:sz="12" w:space="0"/>
            </w:tcBorders>
            <w:vAlign w:val="center"/>
          </w:tcPr>
          <w:p>
            <w:pPr>
              <w:spacing w:after="120"/>
              <w:rPr>
                <w:rFonts w:hint="eastAsia" w:ascii="宋体" w:hAnsi="宋体" w:cs="宋体"/>
                <w:sz w:val="24"/>
                <w:szCs w:val="24"/>
              </w:rPr>
            </w:pPr>
          </w:p>
        </w:tc>
        <w:tc>
          <w:tcPr>
            <w:tcW w:w="7262" w:type="dxa"/>
            <w:gridSpan w:val="5"/>
            <w:tcBorders>
              <w:top w:val="single" w:color="000000" w:sz="12" w:space="0"/>
              <w:bottom w:val="single" w:color="000000" w:sz="12" w:space="0"/>
              <w:right w:val="single" w:color="000000" w:sz="12" w:space="0"/>
            </w:tcBorders>
            <w:vAlign w:val="center"/>
          </w:tcPr>
          <w:p>
            <w:pPr>
              <w:spacing w:after="120"/>
              <w:jc w:val="center"/>
              <w:textAlignment w:val="center"/>
              <w:rPr>
                <w:rFonts w:hint="eastAsia" w:ascii="宋体" w:hAnsi="宋体" w:cs="宋体"/>
                <w:b/>
                <w:sz w:val="21"/>
                <w:szCs w:val="21"/>
              </w:rPr>
            </w:pPr>
            <w:r>
              <w:rPr>
                <w:rFonts w:hint="eastAsia" w:ascii="宋体" w:hAnsi="宋体" w:cs="宋体"/>
                <w:b/>
                <w:sz w:val="21"/>
                <w:szCs w:val="21"/>
                <w:lang w:bidi="ar"/>
              </w:rPr>
              <w:t>T表示每车次货物运输重量</w:t>
            </w:r>
          </w:p>
        </w:tc>
      </w:tr>
      <w:tr>
        <w:tblPrEx>
          <w:tblLayout w:type="fixed"/>
          <w:tblCellMar>
            <w:top w:w="15" w:type="dxa"/>
            <w:left w:w="15" w:type="dxa"/>
            <w:bottom w:w="15" w:type="dxa"/>
            <w:right w:w="15" w:type="dxa"/>
          </w:tblCellMar>
        </w:tblPrEx>
        <w:trPr>
          <w:trHeight w:val="286" w:hRule="atLeast"/>
        </w:trPr>
        <w:tc>
          <w:tcPr>
            <w:tcW w:w="2180" w:type="dxa"/>
            <w:tcBorders>
              <w:left w:val="single" w:color="000000" w:sz="12" w:space="0"/>
              <w:bottom w:val="single" w:color="000000" w:sz="12" w:space="0"/>
              <w:right w:val="single" w:color="000000" w:sz="12" w:space="0"/>
            </w:tcBorders>
            <w:vAlign w:val="center"/>
          </w:tcPr>
          <w:p>
            <w:pPr>
              <w:spacing w:after="120"/>
              <w:jc w:val="center"/>
              <w:textAlignment w:val="center"/>
              <w:rPr>
                <w:rFonts w:hint="eastAsia" w:ascii="宋体" w:hAnsi="宋体" w:eastAsia="宋体" w:cs="宋体"/>
                <w:lang w:eastAsia="zh-CN"/>
              </w:rPr>
            </w:pPr>
            <w:r>
              <w:rPr>
                <w:rFonts w:hint="eastAsia" w:ascii="宋体" w:hAnsi="宋体" w:cs="宋体"/>
                <w:lang w:eastAsia="zh-CN" w:bidi="ar"/>
              </w:rPr>
              <w:t>车型</w:t>
            </w:r>
          </w:p>
        </w:tc>
        <w:tc>
          <w:tcPr>
            <w:tcW w:w="1511" w:type="dxa"/>
            <w:tcBorders>
              <w:bottom w:val="single" w:color="000000" w:sz="12" w:space="0"/>
              <w:right w:val="single" w:color="000000" w:sz="12" w:space="0"/>
            </w:tcBorders>
            <w:vAlign w:val="bottom"/>
          </w:tcPr>
          <w:p>
            <w:pPr>
              <w:keepNext w:val="0"/>
              <w:keepLines w:val="0"/>
              <w:widowControl/>
              <w:suppressLineNumbers w:val="0"/>
              <w:jc w:val="center"/>
              <w:textAlignment w:val="bottom"/>
              <w:rPr>
                <w:rFonts w:hint="default" w:ascii="Times New Roman" w:hAnsi="Times New Roman" w:eastAsia="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4.2米</w:t>
            </w:r>
          </w:p>
        </w:tc>
        <w:tc>
          <w:tcPr>
            <w:tcW w:w="1403" w:type="dxa"/>
            <w:tcBorders>
              <w:top w:val="single" w:color="000000" w:sz="12" w:space="0"/>
              <w:bottom w:val="single" w:color="000000" w:sz="12" w:space="0"/>
              <w:right w:val="single" w:color="000000" w:sz="12" w:space="0"/>
            </w:tcBorders>
            <w:vAlign w:val="bottom"/>
          </w:tcPr>
          <w:p>
            <w:pPr>
              <w:keepNext w:val="0"/>
              <w:keepLines w:val="0"/>
              <w:widowControl/>
              <w:suppressLineNumbers w:val="0"/>
              <w:jc w:val="center"/>
              <w:textAlignment w:val="bottom"/>
              <w:rPr>
                <w:rFonts w:hint="default" w:ascii="Times New Roman" w:hAnsi="Times New Roman" w:eastAsia="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6.8米</w:t>
            </w:r>
          </w:p>
        </w:tc>
        <w:tc>
          <w:tcPr>
            <w:tcW w:w="1407" w:type="dxa"/>
            <w:tcBorders>
              <w:top w:val="single" w:color="000000" w:sz="12" w:space="0"/>
              <w:bottom w:val="single" w:color="000000" w:sz="12" w:space="0"/>
              <w:right w:val="single" w:color="000000" w:sz="12" w:space="0"/>
            </w:tcBorders>
            <w:vAlign w:val="bottom"/>
          </w:tcPr>
          <w:p>
            <w:pPr>
              <w:keepNext w:val="0"/>
              <w:keepLines w:val="0"/>
              <w:widowControl/>
              <w:suppressLineNumbers w:val="0"/>
              <w:jc w:val="center"/>
              <w:textAlignment w:val="bottom"/>
              <w:rPr>
                <w:rFonts w:hint="default" w:ascii="Times New Roman" w:hAnsi="Times New Roman" w:eastAsia="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9.6米</w:t>
            </w:r>
          </w:p>
        </w:tc>
        <w:tc>
          <w:tcPr>
            <w:tcW w:w="1411" w:type="dxa"/>
            <w:tcBorders>
              <w:top w:val="single" w:color="000000" w:sz="12" w:space="0"/>
              <w:bottom w:val="single" w:color="000000" w:sz="12" w:space="0"/>
              <w:right w:val="single" w:color="000000" w:sz="12" w:space="0"/>
            </w:tcBorders>
            <w:vAlign w:val="bottom"/>
          </w:tcPr>
          <w:p>
            <w:pPr>
              <w:keepNext w:val="0"/>
              <w:keepLines w:val="0"/>
              <w:widowControl/>
              <w:suppressLineNumbers w:val="0"/>
              <w:jc w:val="center"/>
              <w:textAlignment w:val="bottom"/>
              <w:rPr>
                <w:rFonts w:ascii="Times New Roman" w:hAnsi="Times New Roman"/>
                <w:sz w:val="24"/>
                <w:szCs w:val="24"/>
              </w:rPr>
            </w:pPr>
            <w:r>
              <w:rPr>
                <w:rFonts w:hint="eastAsia" w:ascii="宋体" w:hAnsi="宋体" w:eastAsia="宋体" w:cs="宋体"/>
                <w:i w:val="0"/>
                <w:iCs w:val="0"/>
                <w:color w:val="000000"/>
                <w:kern w:val="0"/>
                <w:sz w:val="24"/>
                <w:szCs w:val="24"/>
                <w:u w:val="none"/>
                <w:lang w:val="en-US" w:eastAsia="zh-CN" w:bidi="ar"/>
              </w:rPr>
              <w:t>13米</w:t>
            </w:r>
          </w:p>
        </w:tc>
        <w:tc>
          <w:tcPr>
            <w:tcW w:w="1530" w:type="dxa"/>
            <w:tcBorders>
              <w:top w:val="single" w:color="000000" w:sz="12" w:space="0"/>
              <w:bottom w:val="single" w:color="000000" w:sz="12" w:space="0"/>
              <w:right w:val="single" w:color="000000" w:sz="12" w:space="0"/>
            </w:tcBorders>
            <w:vAlign w:val="bottom"/>
          </w:tcPr>
          <w:p>
            <w:pPr>
              <w:keepNext w:val="0"/>
              <w:keepLines w:val="0"/>
              <w:widowControl/>
              <w:suppressLineNumbers w:val="0"/>
              <w:jc w:val="center"/>
              <w:textAlignment w:val="bottom"/>
              <w:rPr>
                <w:rFonts w:ascii="Times New Roman" w:hAnsi="Times New Roman"/>
                <w:sz w:val="24"/>
                <w:szCs w:val="24"/>
              </w:rPr>
            </w:pPr>
            <w:r>
              <w:rPr>
                <w:rFonts w:hint="eastAsia" w:ascii="宋体" w:hAnsi="宋体" w:eastAsia="宋体" w:cs="宋体"/>
                <w:i w:val="0"/>
                <w:iCs w:val="0"/>
                <w:color w:val="000000"/>
                <w:kern w:val="0"/>
                <w:sz w:val="24"/>
                <w:szCs w:val="24"/>
                <w:u w:val="none"/>
                <w:lang w:val="en-US" w:eastAsia="zh-CN" w:bidi="ar"/>
              </w:rPr>
              <w:t>17.5米</w:t>
            </w:r>
          </w:p>
        </w:tc>
      </w:tr>
      <w:tr>
        <w:tblPrEx>
          <w:tblLayout w:type="fixed"/>
          <w:tblCellMar>
            <w:top w:w="15" w:type="dxa"/>
            <w:left w:w="15" w:type="dxa"/>
            <w:bottom w:w="15" w:type="dxa"/>
            <w:right w:w="15" w:type="dxa"/>
          </w:tblCellMar>
        </w:tblPrEx>
        <w:trPr>
          <w:trHeight w:val="286" w:hRule="atLeast"/>
        </w:trPr>
        <w:tc>
          <w:tcPr>
            <w:tcW w:w="2180" w:type="dxa"/>
            <w:tcBorders>
              <w:top w:val="single" w:color="000000" w:sz="12" w:space="0"/>
              <w:left w:val="single" w:color="000000" w:sz="12" w:space="0"/>
              <w:bottom w:val="single" w:color="000000" w:sz="12" w:space="0"/>
              <w:right w:val="single" w:color="000000" w:sz="12" w:space="0"/>
            </w:tcBorders>
            <w:vAlign w:val="center"/>
          </w:tcPr>
          <w:p>
            <w:pPr>
              <w:spacing w:after="120"/>
              <w:jc w:val="center"/>
              <w:textAlignment w:val="center"/>
              <w:rPr>
                <w:rFonts w:hint="eastAsia" w:ascii="宋体" w:hAnsi="宋体" w:eastAsia="宋体" w:cs="宋体"/>
                <w:sz w:val="24"/>
                <w:szCs w:val="24"/>
                <w:lang w:eastAsia="zh-CN"/>
              </w:rPr>
            </w:pPr>
            <w:r>
              <w:rPr>
                <w:rFonts w:hint="eastAsia" w:ascii="宋体" w:hAnsi="宋体" w:cs="宋体"/>
                <w:sz w:val="24"/>
                <w:szCs w:val="24"/>
                <w:lang w:bidi="ar"/>
              </w:rPr>
              <w:t>放空费</w:t>
            </w:r>
            <w:r>
              <w:rPr>
                <w:rFonts w:hint="eastAsia" w:ascii="宋体" w:hAnsi="宋体" w:cs="宋体"/>
                <w:sz w:val="24"/>
                <w:szCs w:val="24"/>
                <w:lang w:eastAsia="zh-CN" w:bidi="ar"/>
              </w:rPr>
              <w:t>（元）</w:t>
            </w:r>
          </w:p>
        </w:tc>
        <w:tc>
          <w:tcPr>
            <w:tcW w:w="1511" w:type="dxa"/>
            <w:tcBorders>
              <w:bottom w:val="single" w:color="000000" w:sz="12" w:space="0"/>
              <w:right w:val="single" w:color="000000" w:sz="12" w:space="0"/>
            </w:tcBorders>
            <w:vAlign w:val="center"/>
          </w:tcPr>
          <w:p>
            <w:pPr>
              <w:spacing w:after="120"/>
              <w:jc w:val="center"/>
              <w:textAlignment w:val="center"/>
              <w:rPr>
                <w:rFonts w:hint="eastAsia" w:ascii="宋体" w:hAnsi="宋体" w:cs="宋体"/>
                <w:sz w:val="24"/>
                <w:szCs w:val="24"/>
              </w:rPr>
            </w:pPr>
          </w:p>
        </w:tc>
        <w:tc>
          <w:tcPr>
            <w:tcW w:w="1403" w:type="dxa"/>
            <w:tcBorders>
              <w:bottom w:val="single" w:color="000000" w:sz="12" w:space="0"/>
              <w:right w:val="single" w:color="000000" w:sz="12" w:space="0"/>
            </w:tcBorders>
            <w:vAlign w:val="center"/>
          </w:tcPr>
          <w:p>
            <w:pPr>
              <w:spacing w:after="120"/>
              <w:jc w:val="center"/>
              <w:textAlignment w:val="center"/>
              <w:rPr>
                <w:rFonts w:hint="eastAsia" w:ascii="宋体" w:hAnsi="宋体" w:cs="宋体"/>
                <w:sz w:val="24"/>
                <w:szCs w:val="24"/>
              </w:rPr>
            </w:pPr>
          </w:p>
        </w:tc>
        <w:tc>
          <w:tcPr>
            <w:tcW w:w="1407" w:type="dxa"/>
            <w:tcBorders>
              <w:bottom w:val="single" w:color="000000" w:sz="12" w:space="0"/>
              <w:right w:val="single" w:color="000000" w:sz="12" w:space="0"/>
            </w:tcBorders>
            <w:vAlign w:val="center"/>
          </w:tcPr>
          <w:p>
            <w:pPr>
              <w:spacing w:after="120"/>
              <w:jc w:val="center"/>
              <w:textAlignment w:val="center"/>
              <w:rPr>
                <w:rFonts w:hint="eastAsia" w:ascii="宋体" w:hAnsi="宋体" w:cs="宋体"/>
                <w:sz w:val="24"/>
                <w:szCs w:val="24"/>
              </w:rPr>
            </w:pPr>
          </w:p>
        </w:tc>
        <w:tc>
          <w:tcPr>
            <w:tcW w:w="1411" w:type="dxa"/>
            <w:tcBorders>
              <w:bottom w:val="single" w:color="000000" w:sz="12" w:space="0"/>
              <w:right w:val="single" w:color="000000" w:sz="12" w:space="0"/>
            </w:tcBorders>
            <w:vAlign w:val="center"/>
          </w:tcPr>
          <w:p>
            <w:pPr>
              <w:spacing w:after="120"/>
              <w:jc w:val="center"/>
              <w:textAlignment w:val="center"/>
              <w:rPr>
                <w:rFonts w:hint="eastAsia" w:ascii="宋体" w:hAnsi="宋体" w:cs="宋体"/>
                <w:sz w:val="24"/>
                <w:szCs w:val="24"/>
              </w:rPr>
            </w:pPr>
          </w:p>
        </w:tc>
        <w:tc>
          <w:tcPr>
            <w:tcW w:w="1530" w:type="dxa"/>
            <w:tcBorders>
              <w:bottom w:val="single" w:color="000000" w:sz="12" w:space="0"/>
              <w:right w:val="single" w:color="000000" w:sz="12" w:space="0"/>
            </w:tcBorders>
            <w:vAlign w:val="center"/>
          </w:tcPr>
          <w:p>
            <w:pPr>
              <w:spacing w:after="120"/>
              <w:jc w:val="center"/>
              <w:textAlignment w:val="center"/>
              <w:rPr>
                <w:rFonts w:hint="eastAsia" w:ascii="宋体" w:hAnsi="宋体" w:cs="宋体"/>
                <w:sz w:val="24"/>
                <w:szCs w:val="24"/>
              </w:rPr>
            </w:pPr>
          </w:p>
        </w:tc>
      </w:tr>
    </w:tbl>
    <w:p>
      <w:pPr>
        <w:pStyle w:val="2"/>
        <w:rPr>
          <w:rFonts w:hint="default"/>
          <w:lang w:val="en-US" w:eastAsia="zh-CN"/>
        </w:rPr>
      </w:pPr>
    </w:p>
    <w:p>
      <w:pPr>
        <w:pStyle w:val="2"/>
        <w:rPr>
          <w:rFonts w:hint="default"/>
          <w:b/>
          <w:bCs/>
          <w:lang w:val="en-US" w:eastAsia="zh-CN"/>
        </w:rPr>
      </w:pPr>
    </w:p>
    <w:p>
      <w:pPr>
        <w:spacing w:after="100" w:afterAutospacing="1"/>
        <w:rPr>
          <w:rFonts w:hint="eastAsia" w:ascii="宋体" w:hAnsi="宋体" w:cs="Times New Roman"/>
          <w:color w:val="auto"/>
          <w:sz w:val="24"/>
          <w:szCs w:val="24"/>
          <w:highlight w:val="none"/>
          <w:lang w:val="en-US" w:eastAsia="zh-CN"/>
        </w:rPr>
      </w:pPr>
      <w:bookmarkStart w:id="281" w:name="EBb0f319ab904f44e286158c8a6b382caf"/>
      <w:r>
        <w:rPr>
          <w:rFonts w:hint="eastAsia" w:ascii="宋体" w:hAnsi="宋体" w:cs="Times New Roman"/>
          <w:color w:val="auto"/>
          <w:sz w:val="24"/>
          <w:szCs w:val="24"/>
          <w:highlight w:val="none"/>
          <w:lang w:eastAsia="zh-CN"/>
        </w:rPr>
        <w:t>计算价格评分：</w:t>
      </w:r>
      <w:bookmarkEnd w:id="281"/>
      <w:r>
        <w:rPr>
          <w:rFonts w:hint="eastAsia" w:ascii="宋体" w:hAnsi="宋体" w:cs="Times New Roman"/>
          <w:color w:val="auto"/>
          <w:sz w:val="24"/>
          <w:szCs w:val="24"/>
          <w:highlight w:val="none"/>
          <w:lang w:eastAsia="zh-CN"/>
        </w:rPr>
        <w:t>评标小组将以</w:t>
      </w:r>
      <w:r>
        <w:rPr>
          <w:rFonts w:hint="eastAsia" w:ascii="宋体" w:hAnsi="宋体" w:cs="Times New Roman"/>
          <w:color w:val="auto"/>
          <w:sz w:val="24"/>
          <w:szCs w:val="24"/>
          <w:highlight w:val="none"/>
          <w:lang w:val="en-US" w:eastAsia="zh-CN"/>
        </w:rPr>
        <w:t>92万元人民币</w:t>
      </w:r>
      <w:r>
        <w:rPr>
          <w:rFonts w:hint="eastAsia" w:ascii="宋体" w:hAnsi="宋体" w:cs="Times New Roman"/>
          <w:color w:val="auto"/>
          <w:sz w:val="24"/>
          <w:szCs w:val="24"/>
          <w:highlight w:val="none"/>
          <w:lang w:eastAsia="zh-CN"/>
        </w:rPr>
        <w:t>作为基准价，评标价：报价人最终报价，评标价得分</w:t>
      </w:r>
      <w:r>
        <w:rPr>
          <w:rFonts w:hint="eastAsia" w:ascii="宋体" w:hAnsi="宋体" w:cs="Times New Roman"/>
          <w:color w:val="auto"/>
          <w:sz w:val="24"/>
          <w:szCs w:val="24"/>
          <w:highlight w:val="none"/>
          <w:lang w:val="en-US" w:eastAsia="zh-CN"/>
        </w:rPr>
        <w:t>=基准价/评标价*权重分值</w:t>
      </w:r>
    </w:p>
    <w:p>
      <w:pPr>
        <w:pStyle w:val="2"/>
        <w:rPr>
          <w:rFonts w:hint="eastAsia"/>
          <w:lang w:val="en-US" w:eastAsia="zh-CN"/>
        </w:rPr>
      </w:pPr>
    </w:p>
    <w:p>
      <w:pPr>
        <w:numPr>
          <w:ilvl w:val="1"/>
          <w:numId w:val="15"/>
        </w:numPr>
        <w:spacing w:line="360" w:lineRule="auto"/>
        <w:rPr>
          <w:rFonts w:hint="eastAsia" w:ascii="宋体" w:hAnsi="宋体"/>
          <w:b/>
          <w:sz w:val="24"/>
          <w:szCs w:val="24"/>
        </w:rPr>
      </w:pPr>
      <w:r>
        <w:rPr>
          <w:rFonts w:hint="eastAsia" w:ascii="宋体" w:hAnsi="宋体"/>
          <w:b/>
          <w:sz w:val="24"/>
          <w:szCs w:val="24"/>
        </w:rPr>
        <w:t>综合评分的计算</w:t>
      </w:r>
    </w:p>
    <w:p>
      <w:pPr>
        <w:numPr>
          <w:ilvl w:val="2"/>
          <w:numId w:val="19"/>
        </w:numPr>
        <w:tabs>
          <w:tab w:val="left" w:pos="720"/>
        </w:tabs>
        <w:spacing w:line="360" w:lineRule="auto"/>
        <w:ind w:left="0" w:firstLine="360"/>
        <w:rPr>
          <w:rFonts w:hint="eastAsia" w:ascii="宋体" w:hAnsi="宋体"/>
          <w:sz w:val="24"/>
          <w:szCs w:val="24"/>
        </w:rPr>
      </w:pPr>
      <w:bookmarkStart w:id="282" w:name="EB067d940baba349e582b898bfd18c9719"/>
      <w:r>
        <w:rPr>
          <w:rFonts w:ascii="宋体" w:hAnsi="宋体" w:cs="宋体"/>
          <w:sz w:val="24"/>
        </w:rPr>
        <w:t>综合评分=技术评分+商务评分+价格评分</w:t>
      </w:r>
      <w:bookmarkEnd w:id="282"/>
    </w:p>
    <w:p>
      <w:pPr>
        <w:numPr>
          <w:ilvl w:val="2"/>
          <w:numId w:val="19"/>
        </w:numPr>
        <w:tabs>
          <w:tab w:val="left" w:pos="720"/>
        </w:tabs>
        <w:spacing w:line="360" w:lineRule="auto"/>
        <w:ind w:left="0" w:firstLine="360"/>
        <w:rPr>
          <w:rStyle w:val="15"/>
          <w:rFonts w:hint="eastAsia" w:ascii="宋体" w:hAnsi="宋体"/>
          <w:sz w:val="24"/>
          <w:szCs w:val="24"/>
        </w:rPr>
      </w:pPr>
      <w:bookmarkStart w:id="283" w:name="EB42fa6b65a45d4e4db22dc9ffb8f38a6b"/>
      <w:r>
        <w:rPr>
          <w:rFonts w:ascii="宋体" w:hAnsi="宋体" w:cs="宋体"/>
          <w:sz w:val="24"/>
        </w:rPr>
        <w:t>各项得分按四舍五入原则精确到小数点后两位。将综合评分由高到低顺序排列。综合评分相同的，按评标价由低到高顺序排列；综合评分相同，且评标价相同的，按技术评分由高到低顺序排列。综合评分相同，且评标价和技术评分均相同的，名次由评标委员会抽签决定。</w:t>
      </w:r>
      <w:r>
        <w:rPr>
          <w:rFonts w:ascii="宋体" w:hAnsi="宋体"/>
          <w:color w:val="000080"/>
          <w:sz w:val="20"/>
          <w:szCs w:val="24"/>
        </w:rPr>
        <w:t xml:space="preserve"> </w:t>
      </w:r>
      <w:bookmarkEnd w:id="283"/>
      <w:r>
        <w:rPr>
          <w:rFonts w:hint="eastAsia" w:ascii="宋体" w:hAnsi="宋体"/>
          <w:sz w:val="24"/>
          <w:szCs w:val="24"/>
        </w:rPr>
        <w:t xml:space="preserve"> </w:t>
      </w:r>
    </w:p>
    <w:p>
      <w:pPr>
        <w:numPr>
          <w:ilvl w:val="1"/>
          <w:numId w:val="15"/>
        </w:numPr>
        <w:spacing w:line="360" w:lineRule="auto"/>
        <w:ind w:left="0" w:firstLine="482" w:firstLineChars="200"/>
        <w:rPr>
          <w:rFonts w:hint="eastAsia" w:ascii="宋体" w:hAnsi="宋体"/>
          <w:b/>
          <w:sz w:val="24"/>
          <w:szCs w:val="24"/>
        </w:rPr>
      </w:pPr>
      <w:r>
        <w:rPr>
          <w:rFonts w:hint="eastAsia" w:ascii="宋体" w:hAnsi="宋体"/>
          <w:b/>
          <w:sz w:val="24"/>
          <w:szCs w:val="24"/>
        </w:rPr>
        <w:t>中标候选人推荐</w:t>
      </w:r>
    </w:p>
    <w:p>
      <w:pPr>
        <w:numPr>
          <w:ilvl w:val="0"/>
          <w:numId w:val="20"/>
        </w:numPr>
        <w:spacing w:line="360" w:lineRule="auto"/>
        <w:ind w:firstLine="480" w:firstLineChars="200"/>
        <w:rPr>
          <w:rFonts w:hint="eastAsia" w:ascii="宋体" w:hAnsi="宋体" w:cs="宋体"/>
          <w:sz w:val="24"/>
        </w:rPr>
      </w:pPr>
      <w:r>
        <w:rPr>
          <w:rFonts w:ascii="宋体" w:hAnsi="宋体" w:cs="宋体"/>
          <w:sz w:val="24"/>
        </w:rPr>
        <w:t>评标委员会按上述排列向采购人推荐</w:t>
      </w:r>
      <w:r>
        <w:rPr>
          <w:rFonts w:hint="eastAsia" w:ascii="宋体" w:hAnsi="宋体" w:cs="宋体"/>
          <w:sz w:val="24"/>
        </w:rPr>
        <w:t>三</w:t>
      </w:r>
      <w:r>
        <w:rPr>
          <w:rFonts w:ascii="宋体" w:hAnsi="宋体" w:cs="宋体"/>
          <w:sz w:val="24"/>
        </w:rPr>
        <w:t>名</w:t>
      </w:r>
      <w:r>
        <w:rPr>
          <w:rFonts w:hint="eastAsia" w:ascii="宋体" w:hAnsi="宋体" w:cs="宋体"/>
          <w:sz w:val="24"/>
        </w:rPr>
        <w:t>或三名以上</w:t>
      </w:r>
      <w:r>
        <w:rPr>
          <w:rFonts w:ascii="宋体" w:hAnsi="宋体" w:cs="宋体"/>
          <w:sz w:val="24"/>
        </w:rPr>
        <w:t>中标候选人。中标候选人不得随意放弃中标资格</w:t>
      </w:r>
      <w:r>
        <w:rPr>
          <w:rFonts w:hint="eastAsia" w:ascii="宋体" w:hAnsi="宋体" w:cs="宋体"/>
          <w:sz w:val="24"/>
        </w:rPr>
        <w:t>。</w:t>
      </w:r>
    </w:p>
    <w:p>
      <w:pPr>
        <w:spacing w:line="360" w:lineRule="auto"/>
        <w:ind w:firstLine="480" w:firstLineChars="200"/>
        <w:rPr>
          <w:rFonts w:hint="eastAsia" w:ascii="宋体" w:hAnsi="宋体"/>
          <w:sz w:val="24"/>
          <w:szCs w:val="24"/>
        </w:rPr>
      </w:pPr>
      <w:r>
        <w:rPr>
          <w:rFonts w:hint="eastAsia" w:ascii="宋体" w:hAnsi="宋体"/>
          <w:sz w:val="24"/>
          <w:szCs w:val="24"/>
        </w:rPr>
        <w:t>2.本项目使用综合评分法，对单一产品采购项目或设定核心产品的采购项目，对单一产品或核心产品提供相同品牌产品的不同投标人参加同一合同项下投标的，通过资格审查、符合性审查且评审后得分最高的同品牌投标人获得中标候选人推荐资格；评审得分相同的，由评标委员会抽签确定一个投标人获得中标候选人推荐资格，其他同品牌投标人不作为中标候选人。</w:t>
      </w:r>
    </w:p>
    <w:p>
      <w:pPr>
        <w:tabs>
          <w:tab w:val="left" w:pos="0"/>
        </w:tabs>
        <w:spacing w:line="360" w:lineRule="auto"/>
        <w:ind w:left="420"/>
        <w:rPr>
          <w:rFonts w:hint="eastAsia" w:ascii="宋体" w:hAnsi="宋体"/>
        </w:rPr>
      </w:pPr>
      <w:bookmarkStart w:id="284" w:name="EBb217b03c9178464eb39b48dbda6a3b99"/>
      <w:r>
        <w:rPr>
          <w:rFonts w:hint="eastAsia" w:ascii="宋体" w:hAnsi="宋体"/>
          <w:color w:val="000000"/>
          <w:sz w:val="24"/>
          <w:szCs w:val="24"/>
        </w:rPr>
        <w:t xml:space="preserve"> </w:t>
      </w:r>
      <w:bookmarkEnd w:id="284"/>
      <w:bookmarkStart w:id="285" w:name="EBa996e059d71043c2bfafb4e91fe3933d"/>
      <w:r>
        <w:rPr>
          <w:rFonts w:hint="eastAsia" w:ascii="宋体" w:hAnsi="宋体"/>
          <w:color w:val="000080"/>
          <w:sz w:val="20"/>
        </w:rPr>
        <w:t xml:space="preserve"> </w:t>
      </w:r>
      <w:bookmarkEnd w:id="285"/>
    </w:p>
    <w:p>
      <w:pPr>
        <w:numPr>
          <w:ilvl w:val="0"/>
          <w:numId w:val="6"/>
        </w:numPr>
        <w:spacing w:line="360" w:lineRule="auto"/>
        <w:ind w:left="567" w:hanging="27"/>
        <w:outlineLvl w:val="1"/>
        <w:rPr>
          <w:rFonts w:hint="eastAsia" w:ascii="宋体" w:hAnsi="宋体"/>
          <w:b/>
          <w:sz w:val="24"/>
          <w:szCs w:val="24"/>
        </w:rPr>
      </w:pPr>
      <w:bookmarkStart w:id="286" w:name="_Toc403491572"/>
      <w:bookmarkStart w:id="287" w:name="_Toc101951268"/>
      <w:bookmarkStart w:id="288" w:name="_Toc101843130"/>
      <w:bookmarkStart w:id="289" w:name="_Toc101775130"/>
      <w:bookmarkStart w:id="290" w:name="_Toc101771377"/>
      <w:bookmarkStart w:id="291" w:name="_Toc401575156"/>
      <w:r>
        <w:rPr>
          <w:rFonts w:hint="eastAsia" w:ascii="宋体" w:hAnsi="宋体"/>
          <w:b/>
          <w:sz w:val="24"/>
          <w:szCs w:val="24"/>
        </w:rPr>
        <w:t>项目废标处理</w:t>
      </w:r>
      <w:bookmarkEnd w:id="286"/>
      <w:bookmarkEnd w:id="287"/>
      <w:bookmarkEnd w:id="288"/>
      <w:bookmarkEnd w:id="289"/>
      <w:bookmarkEnd w:id="290"/>
      <w:bookmarkEnd w:id="291"/>
    </w:p>
    <w:p>
      <w:pPr>
        <w:spacing w:line="360" w:lineRule="auto"/>
        <w:ind w:firstLine="540" w:firstLineChars="225"/>
        <w:rPr>
          <w:rFonts w:hint="eastAsia" w:ascii="宋体" w:hAnsi="宋体"/>
          <w:sz w:val="24"/>
          <w:szCs w:val="24"/>
        </w:rPr>
      </w:pPr>
      <w:r>
        <w:rPr>
          <w:rFonts w:hint="eastAsia" w:ascii="宋体" w:hAnsi="宋体"/>
          <w:sz w:val="24"/>
          <w:szCs w:val="24"/>
        </w:rPr>
        <w:t>根据《政府采购法》第三十六条及招标文件的约定，本项目或子项目下列情况出现将作废标处理：</w:t>
      </w:r>
    </w:p>
    <w:p>
      <w:pPr>
        <w:pStyle w:val="6"/>
        <w:numPr>
          <w:ilvl w:val="1"/>
          <w:numId w:val="21"/>
        </w:numPr>
        <w:tabs>
          <w:tab w:val="clear" w:pos="851"/>
        </w:tabs>
        <w:ind w:left="-5" w:leftChars="0" w:firstLine="425" w:firstLineChars="0"/>
        <w:rPr>
          <w:rFonts w:hint="eastAsia" w:hAnsi="宋体"/>
          <w:sz w:val="24"/>
          <w:szCs w:val="24"/>
        </w:rPr>
      </w:pPr>
      <w:r>
        <w:rPr>
          <w:rFonts w:hint="eastAsia" w:hAnsi="宋体"/>
          <w:sz w:val="24"/>
          <w:szCs w:val="24"/>
        </w:rPr>
        <w:t>符合专业资格条件的投标人或者对招标文件作实质响应的有效投标人不足三家的</w:t>
      </w:r>
      <w:bookmarkStart w:id="292" w:name="EB7e063bb4e89549d28121d2674922c4fe"/>
      <w:bookmarkEnd w:id="292"/>
      <w:r>
        <w:rPr>
          <w:rFonts w:hint="eastAsia" w:hAnsi="宋体"/>
          <w:sz w:val="24"/>
          <w:szCs w:val="24"/>
        </w:rPr>
        <w:t>。</w:t>
      </w:r>
    </w:p>
    <w:p>
      <w:pPr>
        <w:pStyle w:val="6"/>
        <w:numPr>
          <w:ilvl w:val="1"/>
          <w:numId w:val="21"/>
        </w:numPr>
        <w:tabs>
          <w:tab w:val="clear" w:pos="851"/>
        </w:tabs>
        <w:ind w:left="-5" w:leftChars="0" w:firstLine="425" w:firstLineChars="0"/>
        <w:rPr>
          <w:rFonts w:hint="eastAsia" w:hAnsi="宋体"/>
          <w:sz w:val="24"/>
          <w:szCs w:val="24"/>
        </w:rPr>
      </w:pPr>
      <w:r>
        <w:rPr>
          <w:rFonts w:hint="eastAsia" w:hAnsi="宋体"/>
          <w:sz w:val="24"/>
          <w:szCs w:val="24"/>
        </w:rPr>
        <w:t>出现影响采购公正的违法、违规行为的。</w:t>
      </w:r>
    </w:p>
    <w:p>
      <w:pPr>
        <w:pStyle w:val="6"/>
        <w:numPr>
          <w:ilvl w:val="1"/>
          <w:numId w:val="21"/>
        </w:numPr>
        <w:tabs>
          <w:tab w:val="clear" w:pos="851"/>
        </w:tabs>
        <w:ind w:left="-5" w:leftChars="0" w:firstLine="425" w:firstLineChars="0"/>
        <w:rPr>
          <w:rFonts w:hint="eastAsia" w:hAnsi="宋体"/>
          <w:color w:val="auto"/>
          <w:sz w:val="24"/>
          <w:szCs w:val="24"/>
          <w:highlight w:val="none"/>
        </w:rPr>
      </w:pPr>
      <w:r>
        <w:rPr>
          <w:rFonts w:hint="eastAsia" w:hAnsi="宋体"/>
          <w:color w:val="auto"/>
          <w:sz w:val="24"/>
          <w:szCs w:val="24"/>
          <w:highlight w:val="none"/>
        </w:rPr>
        <w:t xml:space="preserve">投标人的报价均超过了采购预算，采购人不能支付的。 </w:t>
      </w:r>
    </w:p>
    <w:p>
      <w:pPr>
        <w:pStyle w:val="6"/>
        <w:numPr>
          <w:ilvl w:val="1"/>
          <w:numId w:val="21"/>
        </w:numPr>
        <w:tabs>
          <w:tab w:val="clear" w:pos="851"/>
        </w:tabs>
        <w:ind w:left="-5" w:leftChars="0" w:firstLine="425" w:firstLineChars="0"/>
        <w:rPr>
          <w:rFonts w:hint="eastAsia" w:hAnsi="宋体"/>
          <w:sz w:val="24"/>
          <w:szCs w:val="24"/>
        </w:rPr>
      </w:pPr>
      <w:r>
        <w:rPr>
          <w:rFonts w:hint="eastAsia" w:hAnsi="宋体"/>
          <w:sz w:val="24"/>
          <w:szCs w:val="24"/>
        </w:rPr>
        <w:t>因重大变故，采购任务取消的。</w:t>
      </w:r>
    </w:p>
    <w:p>
      <w:pPr>
        <w:pStyle w:val="6"/>
        <w:tabs>
          <w:tab w:val="clear" w:pos="851"/>
        </w:tabs>
        <w:ind w:left="425"/>
        <w:rPr>
          <w:rFonts w:hint="eastAsia" w:hAnsi="宋体"/>
          <w:sz w:val="24"/>
          <w:szCs w:val="24"/>
        </w:rPr>
      </w:pPr>
      <w:bookmarkStart w:id="293" w:name="EB5af219300a204caa8842f474a8148aae"/>
      <w:r>
        <w:rPr>
          <w:rFonts w:hint="eastAsia" w:hAnsi="宋体"/>
          <w:color w:val="000000"/>
          <w:sz w:val="24"/>
          <w:szCs w:val="24"/>
        </w:rPr>
        <w:t xml:space="preserve"> </w:t>
      </w:r>
      <w:bookmarkEnd w:id="293"/>
      <w:r>
        <w:rPr>
          <w:rFonts w:hint="eastAsia" w:hAnsi="宋体"/>
          <w:sz w:val="24"/>
          <w:szCs w:val="24"/>
        </w:rPr>
        <w:t xml:space="preserve"> </w:t>
      </w:r>
    </w:p>
    <w:bookmarkEnd w:id="255"/>
    <w:bookmarkEnd w:id="256"/>
    <w:bookmarkEnd w:id="257"/>
    <w:p>
      <w:pPr>
        <w:numPr>
          <w:ilvl w:val="0"/>
          <w:numId w:val="6"/>
        </w:numPr>
        <w:spacing w:line="360" w:lineRule="auto"/>
        <w:ind w:left="0" w:firstLine="482" w:firstLineChars="200"/>
        <w:outlineLvl w:val="1"/>
        <w:rPr>
          <w:rFonts w:hint="eastAsia" w:ascii="宋体" w:hAnsi="宋体"/>
          <w:b/>
          <w:sz w:val="24"/>
          <w:szCs w:val="24"/>
        </w:rPr>
      </w:pPr>
      <w:bookmarkStart w:id="294" w:name="_Toc42313169"/>
      <w:bookmarkStart w:id="295" w:name="_Toc101951269"/>
      <w:bookmarkStart w:id="296" w:name="_Toc101771378"/>
      <w:bookmarkStart w:id="297" w:name="_Toc41884703"/>
      <w:bookmarkStart w:id="298" w:name="_Toc50276154"/>
      <w:bookmarkStart w:id="299" w:name="_Toc98579066"/>
      <w:bookmarkStart w:id="300" w:name="_Toc98579607"/>
      <w:bookmarkStart w:id="301" w:name="_Toc42394514"/>
      <w:bookmarkStart w:id="302" w:name="_Toc101843131"/>
      <w:bookmarkStart w:id="303" w:name="_Toc101775131"/>
      <w:bookmarkStart w:id="304" w:name="_Toc403491573"/>
      <w:bookmarkStart w:id="305" w:name="_Toc401575157"/>
      <w:bookmarkStart w:id="306" w:name="_Toc41723933"/>
      <w:bookmarkStart w:id="307" w:name="_Toc98580290"/>
      <w:bookmarkStart w:id="308" w:name="_Toc42394670"/>
      <w:bookmarkStart w:id="309" w:name="_Toc98579008"/>
      <w:r>
        <w:rPr>
          <w:rFonts w:hint="eastAsia" w:ascii="宋体" w:hAnsi="宋体"/>
          <w:b/>
          <w:sz w:val="24"/>
          <w:szCs w:val="24"/>
        </w:rPr>
        <w:t>定标</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pPr>
        <w:pStyle w:val="6"/>
        <w:tabs>
          <w:tab w:val="clear" w:pos="851"/>
        </w:tabs>
        <w:ind w:firstLine="480" w:firstLineChars="200"/>
        <w:rPr>
          <w:rFonts w:hint="eastAsia" w:hAnsi="宋体"/>
          <w:sz w:val="24"/>
          <w:szCs w:val="24"/>
        </w:rPr>
      </w:pPr>
      <w:r>
        <w:rPr>
          <w:rFonts w:hint="eastAsia" w:hAnsi="宋体"/>
          <w:sz w:val="24"/>
          <w:szCs w:val="24"/>
        </w:rPr>
        <w:t>（一）依照国有企业制度，采购人内部领导班子办公会议决策，原则上按照综合评分由高到低排序，排名第一为第一中标候选人，排名第二的为第二中标候选人，排名第三的为第三中标候选人，本项目确定</w:t>
      </w:r>
      <w:r>
        <w:rPr>
          <w:rFonts w:hint="eastAsia" w:hAnsi="宋体"/>
          <w:sz w:val="24"/>
          <w:szCs w:val="24"/>
          <w:lang w:val="en-US" w:eastAsia="zh-CN"/>
        </w:rPr>
        <w:t>1</w:t>
      </w:r>
      <w:r>
        <w:rPr>
          <w:rFonts w:hint="eastAsia" w:hAnsi="宋体"/>
          <w:sz w:val="24"/>
          <w:szCs w:val="24"/>
        </w:rPr>
        <w:t>个中标方。中</w:t>
      </w:r>
      <w:r>
        <w:rPr>
          <w:rFonts w:hAnsi="宋体"/>
          <w:sz w:val="24"/>
          <w:szCs w:val="24"/>
        </w:rPr>
        <w:t>标候选人放弃中标或被依法认定中标无效的，采购人可以按顺序选择</w:t>
      </w:r>
      <w:r>
        <w:rPr>
          <w:rFonts w:hint="eastAsia" w:hAnsi="宋体"/>
          <w:sz w:val="24"/>
          <w:szCs w:val="24"/>
        </w:rPr>
        <w:t>下一</w:t>
      </w:r>
      <w:r>
        <w:rPr>
          <w:rFonts w:hAnsi="宋体"/>
          <w:sz w:val="24"/>
          <w:szCs w:val="24"/>
        </w:rPr>
        <w:t>中标候选人。</w:t>
      </w:r>
    </w:p>
    <w:p>
      <w:pPr>
        <w:pStyle w:val="6"/>
        <w:tabs>
          <w:tab w:val="clear" w:pos="851"/>
        </w:tabs>
        <w:ind w:firstLine="480" w:firstLineChars="200"/>
        <w:rPr>
          <w:rFonts w:hint="eastAsia" w:hAnsi="宋体"/>
          <w:sz w:val="24"/>
          <w:szCs w:val="24"/>
        </w:rPr>
      </w:pPr>
      <w:bookmarkStart w:id="310" w:name="EB4427ea53cab941779413b12899674173"/>
      <w:r>
        <w:rPr>
          <w:rFonts w:hAnsi="宋体"/>
          <w:sz w:val="24"/>
          <w:szCs w:val="24"/>
        </w:rPr>
        <w:t xml:space="preserve"> </w:t>
      </w:r>
      <w:bookmarkEnd w:id="310"/>
      <w:r>
        <w:rPr>
          <w:rFonts w:hint="eastAsia" w:hAnsi="宋体"/>
          <w:sz w:val="24"/>
          <w:szCs w:val="24"/>
        </w:rPr>
        <w:t>（二）采购结果确认后，中标结果</w:t>
      </w:r>
      <w:r>
        <w:rPr>
          <w:rFonts w:hint="eastAsia" w:hAnsi="宋体"/>
          <w:sz w:val="24"/>
          <w:szCs w:val="24"/>
          <w:lang w:eastAsia="zh-CN"/>
        </w:rPr>
        <w:t>将</w:t>
      </w:r>
      <w:r>
        <w:rPr>
          <w:rFonts w:hint="eastAsia" w:hAnsi="宋体"/>
          <w:sz w:val="24"/>
          <w:szCs w:val="24"/>
        </w:rPr>
        <w:t>在采购信息发布网站上进行公告。不在中标名单之列者即为落标人，采购人不再以其它方式另行通知。</w:t>
      </w:r>
    </w:p>
    <w:p>
      <w:pPr>
        <w:pStyle w:val="6"/>
        <w:tabs>
          <w:tab w:val="clear" w:pos="851"/>
        </w:tabs>
        <w:ind w:firstLine="480" w:firstLineChars="200"/>
        <w:rPr>
          <w:rFonts w:hint="eastAsia" w:hAnsi="宋体"/>
          <w:sz w:val="24"/>
          <w:szCs w:val="24"/>
        </w:rPr>
      </w:pPr>
      <w:r>
        <w:rPr>
          <w:rFonts w:hint="eastAsia" w:hAnsi="宋体"/>
          <w:sz w:val="24"/>
          <w:szCs w:val="24"/>
        </w:rPr>
        <w:t>（三）中标人放弃中标的，</w:t>
      </w:r>
      <w:r>
        <w:rPr>
          <w:rFonts w:hint="eastAsia" w:hAnsi="宋体"/>
          <w:sz w:val="24"/>
          <w:szCs w:val="24"/>
          <w:lang w:eastAsia="zh-CN"/>
        </w:rPr>
        <w:t>将扣除保证金并</w:t>
      </w:r>
      <w:r>
        <w:rPr>
          <w:rFonts w:hint="eastAsia" w:hAnsi="宋体"/>
          <w:sz w:val="24"/>
          <w:szCs w:val="24"/>
        </w:rPr>
        <w:t>应当依法承担相应的法律责任。</w:t>
      </w:r>
    </w:p>
    <w:p>
      <w:pPr>
        <w:pStyle w:val="6"/>
        <w:tabs>
          <w:tab w:val="clear" w:pos="851"/>
        </w:tabs>
        <w:ind w:firstLine="480" w:firstLineChars="200"/>
        <w:rPr>
          <w:rFonts w:hint="eastAsia" w:hAnsi="宋体"/>
          <w:sz w:val="24"/>
          <w:szCs w:val="24"/>
        </w:rPr>
      </w:pPr>
      <w:r>
        <w:rPr>
          <w:rFonts w:hint="eastAsia" w:hAnsi="宋体"/>
          <w:sz w:val="24"/>
          <w:szCs w:val="24"/>
        </w:rPr>
        <w:t>（四）凡发现中标人有下列行为之一的，将移交政府采购监督管理部门依法处理。</w:t>
      </w:r>
    </w:p>
    <w:p>
      <w:pPr>
        <w:numPr>
          <w:ilvl w:val="2"/>
          <w:numId w:val="22"/>
        </w:numPr>
        <w:tabs>
          <w:tab w:val="left" w:pos="720"/>
        </w:tabs>
        <w:spacing w:line="360" w:lineRule="auto"/>
        <w:ind w:left="0" w:firstLine="480" w:firstLineChars="200"/>
        <w:rPr>
          <w:rFonts w:hint="eastAsia" w:ascii="宋体" w:hAnsi="宋体"/>
          <w:sz w:val="24"/>
          <w:szCs w:val="24"/>
        </w:rPr>
      </w:pPr>
      <w:r>
        <w:rPr>
          <w:rFonts w:hint="eastAsia" w:ascii="宋体" w:hAnsi="宋体" w:cs="宋体"/>
          <w:sz w:val="24"/>
          <w:szCs w:val="24"/>
        </w:rPr>
        <w:t>提供虚假材料谋取中标的</w:t>
      </w:r>
      <w:r>
        <w:rPr>
          <w:rFonts w:hint="eastAsia" w:ascii="宋体" w:hAnsi="宋体"/>
          <w:sz w:val="24"/>
          <w:szCs w:val="24"/>
        </w:rPr>
        <w:t>。</w:t>
      </w:r>
    </w:p>
    <w:p>
      <w:pPr>
        <w:numPr>
          <w:ilvl w:val="2"/>
          <w:numId w:val="22"/>
        </w:numPr>
        <w:tabs>
          <w:tab w:val="left" w:pos="720"/>
        </w:tabs>
        <w:spacing w:line="360" w:lineRule="auto"/>
        <w:ind w:left="0" w:firstLine="480" w:firstLineChars="200"/>
        <w:rPr>
          <w:rFonts w:hint="eastAsia" w:ascii="宋体" w:hAnsi="宋体" w:cs="宋体"/>
          <w:sz w:val="24"/>
          <w:szCs w:val="24"/>
        </w:rPr>
      </w:pPr>
      <w:r>
        <w:rPr>
          <w:rFonts w:hint="eastAsia" w:ascii="宋体" w:hAnsi="宋体" w:cs="宋体"/>
          <w:sz w:val="24"/>
          <w:szCs w:val="24"/>
        </w:rPr>
        <w:t>采取不正当手段诋毁、排挤其他供应商的。</w:t>
      </w:r>
    </w:p>
    <w:p>
      <w:pPr>
        <w:numPr>
          <w:ilvl w:val="2"/>
          <w:numId w:val="22"/>
        </w:numPr>
        <w:tabs>
          <w:tab w:val="left" w:pos="720"/>
        </w:tabs>
        <w:spacing w:line="360" w:lineRule="auto"/>
        <w:ind w:left="0" w:firstLine="480" w:firstLineChars="200"/>
        <w:rPr>
          <w:rFonts w:hint="eastAsia" w:ascii="宋体" w:hAnsi="宋体" w:cs="宋体"/>
          <w:sz w:val="24"/>
          <w:szCs w:val="24"/>
        </w:rPr>
      </w:pPr>
      <w:r>
        <w:rPr>
          <w:rFonts w:hint="eastAsia" w:ascii="宋体" w:hAnsi="宋体" w:cs="宋体"/>
          <w:sz w:val="24"/>
          <w:szCs w:val="24"/>
        </w:rPr>
        <w:t>与采购人、其他供应商或者交易中心工作人员恶意串通的。</w:t>
      </w:r>
    </w:p>
    <w:p>
      <w:pPr>
        <w:numPr>
          <w:ilvl w:val="2"/>
          <w:numId w:val="22"/>
        </w:numPr>
        <w:tabs>
          <w:tab w:val="left" w:pos="720"/>
        </w:tabs>
        <w:spacing w:line="360" w:lineRule="auto"/>
        <w:ind w:left="0" w:firstLine="480" w:firstLineChars="200"/>
        <w:rPr>
          <w:rFonts w:hint="eastAsia" w:ascii="宋体" w:hAnsi="宋体" w:cs="宋体"/>
          <w:sz w:val="24"/>
          <w:szCs w:val="24"/>
        </w:rPr>
      </w:pPr>
      <w:r>
        <w:rPr>
          <w:rFonts w:hint="eastAsia" w:ascii="宋体" w:hAnsi="宋体" w:cs="宋体"/>
          <w:sz w:val="24"/>
          <w:szCs w:val="24"/>
        </w:rPr>
        <w:t>向采购人、交易中心工作人员行贿或者提供其他不正当利益的。</w:t>
      </w:r>
    </w:p>
    <w:p>
      <w:pPr>
        <w:numPr>
          <w:ilvl w:val="2"/>
          <w:numId w:val="22"/>
        </w:numPr>
        <w:tabs>
          <w:tab w:val="left" w:pos="720"/>
        </w:tabs>
        <w:spacing w:line="360" w:lineRule="auto"/>
        <w:ind w:left="0" w:firstLine="480" w:firstLineChars="200"/>
        <w:rPr>
          <w:rFonts w:hint="eastAsia" w:ascii="宋体" w:hAnsi="宋体" w:cs="宋体"/>
          <w:sz w:val="24"/>
          <w:szCs w:val="24"/>
        </w:rPr>
      </w:pPr>
      <w:r>
        <w:rPr>
          <w:rFonts w:hint="eastAsia" w:ascii="宋体" w:hAnsi="宋体" w:cs="宋体"/>
          <w:sz w:val="24"/>
          <w:szCs w:val="24"/>
        </w:rPr>
        <w:t>在招标采购过程中与采购人进行协商谈判的。</w:t>
      </w:r>
    </w:p>
    <w:p>
      <w:pPr>
        <w:numPr>
          <w:ilvl w:val="2"/>
          <w:numId w:val="22"/>
        </w:numPr>
        <w:tabs>
          <w:tab w:val="left" w:pos="720"/>
        </w:tabs>
        <w:spacing w:line="360" w:lineRule="auto"/>
        <w:ind w:left="0" w:firstLine="480" w:firstLineChars="200"/>
        <w:rPr>
          <w:rFonts w:hint="eastAsia" w:ascii="宋体" w:hAnsi="宋体" w:cs="宋体"/>
          <w:sz w:val="24"/>
          <w:szCs w:val="24"/>
        </w:rPr>
      </w:pPr>
      <w:r>
        <w:rPr>
          <w:rFonts w:hint="eastAsia" w:ascii="宋体" w:hAnsi="宋体" w:cs="宋体"/>
          <w:sz w:val="24"/>
          <w:szCs w:val="24"/>
        </w:rPr>
        <w:t>拒绝有关部门监督检查或者提供虚假情况的。</w:t>
      </w:r>
    </w:p>
    <w:p>
      <w:pPr>
        <w:numPr>
          <w:ilvl w:val="2"/>
          <w:numId w:val="22"/>
        </w:numPr>
        <w:tabs>
          <w:tab w:val="left" w:pos="720"/>
        </w:tabs>
        <w:spacing w:line="360" w:lineRule="auto"/>
        <w:ind w:left="0" w:firstLine="480" w:firstLineChars="200"/>
        <w:rPr>
          <w:rFonts w:hint="eastAsia" w:ascii="宋体" w:hAnsi="宋体" w:cs="宋体"/>
          <w:sz w:val="24"/>
          <w:szCs w:val="24"/>
        </w:rPr>
      </w:pPr>
      <w:r>
        <w:rPr>
          <w:rFonts w:hint="eastAsia" w:ascii="宋体" w:hAnsi="宋体" w:cs="宋体"/>
          <w:sz w:val="24"/>
          <w:szCs w:val="24"/>
        </w:rPr>
        <w:t>有法律、法规规定的其他损害采购人利益和社会公共利益情形的。</w:t>
      </w:r>
    </w:p>
    <w:p>
      <w:pPr>
        <w:pStyle w:val="5"/>
        <w:ind w:firstLine="0"/>
        <w:rPr>
          <w:rFonts w:hint="eastAsia" w:ascii="宋体" w:hAnsi="宋体"/>
        </w:rPr>
      </w:pPr>
    </w:p>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Pr>
        <w:pStyle w:val="3"/>
        <w:pageBreakBefore/>
        <w:spacing w:before="0" w:after="0" w:line="360" w:lineRule="auto"/>
        <w:jc w:val="center"/>
        <w:rPr>
          <w:rFonts w:hint="eastAsia" w:ascii="宋体" w:hAnsi="宋体"/>
          <w:sz w:val="30"/>
          <w:szCs w:val="30"/>
        </w:rPr>
      </w:pPr>
      <w:bookmarkStart w:id="311" w:name="_Toc101843133"/>
      <w:bookmarkStart w:id="312" w:name="_Toc403491575"/>
      <w:bookmarkStart w:id="313" w:name="_Toc101775133"/>
      <w:bookmarkStart w:id="314" w:name="_Toc401575159"/>
      <w:bookmarkStart w:id="315" w:name="_Toc101951271"/>
      <w:bookmarkStart w:id="316" w:name="_Toc101771380"/>
      <w:r>
        <w:rPr>
          <w:rFonts w:hint="eastAsia" w:ascii="宋体" w:hAnsi="宋体"/>
          <w:sz w:val="30"/>
          <w:szCs w:val="30"/>
        </w:rPr>
        <w:t xml:space="preserve">第五章 </w:t>
      </w:r>
      <w:bookmarkStart w:id="317" w:name="_Toc42313174"/>
      <w:bookmarkStart w:id="318" w:name="_Toc38947808"/>
      <w:bookmarkStart w:id="319" w:name="_Toc41884708"/>
      <w:bookmarkStart w:id="320" w:name="_Toc40762376"/>
      <w:bookmarkStart w:id="321" w:name="_Toc41723938"/>
      <w:r>
        <w:rPr>
          <w:rFonts w:hint="eastAsia" w:ascii="宋体" w:hAnsi="宋体"/>
          <w:sz w:val="30"/>
          <w:szCs w:val="30"/>
        </w:rPr>
        <w:t>投标文件格式</w:t>
      </w:r>
      <w:bookmarkEnd w:id="311"/>
      <w:bookmarkEnd w:id="312"/>
      <w:bookmarkEnd w:id="313"/>
      <w:bookmarkEnd w:id="314"/>
      <w:bookmarkEnd w:id="315"/>
      <w:bookmarkEnd w:id="316"/>
      <w:bookmarkEnd w:id="317"/>
      <w:bookmarkEnd w:id="318"/>
      <w:bookmarkEnd w:id="319"/>
      <w:bookmarkEnd w:id="320"/>
      <w:bookmarkEnd w:id="321"/>
    </w:p>
    <w:p>
      <w:pPr>
        <w:pStyle w:val="5"/>
        <w:spacing w:line="360" w:lineRule="auto"/>
        <w:ind w:firstLine="540" w:firstLineChars="225"/>
        <w:rPr>
          <w:rFonts w:hint="eastAsia" w:ascii="宋体" w:hAnsi="宋体"/>
          <w:color w:val="000080"/>
          <w:sz w:val="20"/>
        </w:rPr>
      </w:pPr>
      <w:bookmarkStart w:id="322" w:name="_Toc41884709"/>
      <w:bookmarkStart w:id="323" w:name="_Toc41723939"/>
      <w:bookmarkStart w:id="324" w:name="_Toc175106977"/>
      <w:bookmarkStart w:id="325" w:name="_Toc101951272"/>
      <w:bookmarkStart w:id="326" w:name="_Toc101843134"/>
      <w:bookmarkStart w:id="327" w:name="_Toc42394520"/>
      <w:bookmarkStart w:id="328" w:name="_Toc40762378"/>
      <w:bookmarkStart w:id="329" w:name="_Toc50276168"/>
      <w:bookmarkStart w:id="330" w:name="_Toc38947810"/>
      <w:bookmarkStart w:id="331" w:name="_Toc50276167"/>
      <w:bookmarkStart w:id="332" w:name="_Toc40762377"/>
      <w:bookmarkStart w:id="333" w:name="_Toc98579071"/>
      <w:bookmarkStart w:id="334" w:name="_Toc41884710"/>
      <w:bookmarkStart w:id="335" w:name="_Toc101775134"/>
      <w:bookmarkStart w:id="336" w:name="_Toc101771381"/>
      <w:bookmarkStart w:id="337" w:name="_Toc42313175"/>
      <w:bookmarkStart w:id="338" w:name="_Toc42313176"/>
      <w:bookmarkStart w:id="339" w:name="_Toc38947809"/>
      <w:bookmarkStart w:id="340" w:name="_Toc98579013"/>
      <w:bookmarkStart w:id="341" w:name="_Toc42394676"/>
      <w:bookmarkStart w:id="342" w:name="_Toc175644396"/>
      <w:bookmarkStart w:id="343" w:name="_Toc98580295"/>
      <w:bookmarkStart w:id="344" w:name="_Toc41723940"/>
      <w:bookmarkStart w:id="345" w:name="_Toc42394519"/>
      <w:bookmarkStart w:id="346" w:name="_Toc42394675"/>
      <w:bookmarkStart w:id="347" w:name="_Toc98579612"/>
      <w:bookmarkStart w:id="348" w:name="EB5bc3e81b8efc480ebffa41b1c47279f5"/>
      <w:r>
        <w:rPr>
          <w:rFonts w:hint="eastAsia" w:ascii="宋体" w:hAnsi="宋体"/>
          <w:sz w:val="24"/>
          <w:szCs w:val="24"/>
        </w:rPr>
        <w:t>投标文件</w:t>
      </w:r>
      <w:r>
        <w:rPr>
          <w:rFonts w:hint="eastAsia" w:ascii="宋体" w:hAnsi="宋体" w:cs="仿宋_GB2312"/>
          <w:sz w:val="24"/>
          <w:lang w:val="zh-CN"/>
        </w:rPr>
        <w:t>包括但不限于以下组成内容，请按顺序制作，本章有提供格式文件的请按格式要求提交。</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p>
      <w:pPr>
        <w:rPr>
          <w:rFonts w:hint="eastAsia" w:ascii="宋体" w:hAnsi="宋体"/>
          <w:color w:val="000080"/>
          <w:sz w:val="20"/>
        </w:rPr>
      </w:pPr>
      <w:r>
        <w:rPr>
          <w:rFonts w:hint="eastAsia" w:ascii="宋体" w:hAnsi="宋体"/>
          <w:color w:val="000080"/>
          <w:sz w:val="20"/>
        </w:rPr>
        <w:t xml:space="preserve"> </w:t>
      </w:r>
    </w:p>
    <w:p>
      <w:pPr>
        <w:rPr>
          <w:rFonts w:hint="eastAsia" w:ascii="宋体" w:hAnsi="宋体"/>
          <w:color w:val="000080"/>
          <w:sz w:val="20"/>
        </w:rPr>
      </w:pPr>
      <w:r>
        <w:rPr>
          <w:rFonts w:hint="eastAsia" w:ascii="宋体" w:hAnsi="宋体"/>
          <w:color w:val="000080"/>
          <w:sz w:val="20"/>
        </w:rPr>
        <w:t xml:space="preserve"> </w:t>
      </w:r>
      <w:bookmarkEnd w:id="348"/>
    </w:p>
    <w:tbl>
      <w:tblPr>
        <w:tblStyle w:val="14"/>
        <w:tblW w:w="9624" w:type="dxa"/>
        <w:tblInd w:w="0" w:type="dxa"/>
        <w:shd w:val="clear" w:color="auto" w:fill="auto"/>
        <w:tblLayout w:type="fixed"/>
        <w:tblCellMar>
          <w:top w:w="0" w:type="dxa"/>
          <w:left w:w="108" w:type="dxa"/>
          <w:bottom w:w="0" w:type="dxa"/>
          <w:right w:w="108" w:type="dxa"/>
        </w:tblCellMar>
      </w:tblPr>
      <w:tblGrid>
        <w:gridCol w:w="852"/>
        <w:gridCol w:w="7917"/>
        <w:gridCol w:w="855"/>
      </w:tblGrid>
      <w:tr>
        <w:tblPrEx>
          <w:shd w:val="clear" w:color="auto" w:fill="auto"/>
          <w:tblLayout w:type="fixed"/>
          <w:tblCellMar>
            <w:top w:w="0" w:type="dxa"/>
            <w:left w:w="108" w:type="dxa"/>
            <w:bottom w:w="0" w:type="dxa"/>
            <w:right w:w="108" w:type="dxa"/>
          </w:tblCellMar>
        </w:tblPrEx>
        <w:trPr>
          <w:trHeight w:val="300" w:hRule="atLeast"/>
        </w:trPr>
        <w:tc>
          <w:tcPr>
            <w:tcW w:w="8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791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内容</w:t>
            </w:r>
          </w:p>
        </w:tc>
        <w:tc>
          <w:tcPr>
            <w:tcW w:w="8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盖章要求</w:t>
            </w:r>
          </w:p>
        </w:tc>
      </w:tr>
      <w:tr>
        <w:tblPrEx>
          <w:tblLayout w:type="fixed"/>
          <w:tblCellMar>
            <w:top w:w="0" w:type="dxa"/>
            <w:left w:w="108" w:type="dxa"/>
            <w:bottom w:w="0" w:type="dxa"/>
            <w:right w:w="108" w:type="dxa"/>
          </w:tblCellMar>
        </w:tblPrEx>
        <w:trPr>
          <w:trHeight w:val="300" w:hRule="atLeast"/>
        </w:trPr>
        <w:tc>
          <w:tcPr>
            <w:tcW w:w="962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商务部分</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91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★投标承诺函</w:t>
            </w:r>
          </w:p>
        </w:tc>
        <w:tc>
          <w:tcPr>
            <w:tcW w:w="8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★投标人资格声明函</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87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投标人资格声明函》的附件（提供以下相关证照之一的扫描件）：1企业法人提供企业法人营业执照；2事业法人提供事业法人登记证；3其他组织提供其他组织的营业执照或执业许可证；4自然人提供居民身份证等 </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授权委托证明书（法定代表人亲自办理投标事宜的，则无需提交本证明书）</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★财务报告</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★同类型项目合同复印件及中标通知书</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★拟投入本项目的项目人员</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★保单证书复印件</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585"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★属于分支机构投标的，还须提供分支机构的营业执照（执业许可证）扫描件及总公司（总所）出具给分支机构的授权书，授权书须加盖总公司（总所）公章</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962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技术文件</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791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★对采购需求响应情况（芜湖仓运输服务方案）</w:t>
            </w:r>
          </w:p>
        </w:tc>
        <w:tc>
          <w:tcPr>
            <w:tcW w:w="8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★专业作业指导书</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★运输车辆证明文件</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★货物跟踪系统</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★仓库设施环境</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r>
        <w:tblPrEx>
          <w:tblLayout w:type="fixed"/>
          <w:tblCellMar>
            <w:top w:w="0" w:type="dxa"/>
            <w:left w:w="108" w:type="dxa"/>
            <w:bottom w:w="0" w:type="dxa"/>
            <w:right w:w="108" w:type="dxa"/>
          </w:tblCellMar>
        </w:tblPrEx>
        <w:trPr>
          <w:trHeight w:val="300" w:hRule="atLeast"/>
        </w:trPr>
        <w:tc>
          <w:tcPr>
            <w:tcW w:w="962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价格文件</w:t>
            </w:r>
          </w:p>
        </w:tc>
      </w:tr>
      <w:tr>
        <w:tblPrEx>
          <w:tblLayout w:type="fixed"/>
          <w:tblCellMar>
            <w:top w:w="0" w:type="dxa"/>
            <w:left w:w="108" w:type="dxa"/>
            <w:bottom w:w="0" w:type="dxa"/>
            <w:right w:w="108" w:type="dxa"/>
          </w:tblCellMar>
        </w:tblPrEx>
        <w:trPr>
          <w:trHeight w:val="300" w:hRule="atLeast"/>
        </w:trPr>
        <w:tc>
          <w:tcPr>
            <w:tcW w:w="8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91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w:t>
            </w:r>
          </w:p>
        </w:tc>
        <w:tc>
          <w:tcPr>
            <w:tcW w:w="8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公章</w:t>
            </w:r>
          </w:p>
        </w:tc>
      </w:tr>
    </w:tbl>
    <w:p>
      <w:pPr>
        <w:rPr>
          <w:rFonts w:hint="eastAsia" w:ascii="宋体" w:hAnsi="宋体"/>
          <w:color w:val="000080"/>
          <w:sz w:val="20"/>
        </w:rPr>
      </w:pPr>
    </w:p>
    <w:p>
      <w:pPr>
        <w:pStyle w:val="8"/>
        <w:spacing w:line="480" w:lineRule="auto"/>
        <w:ind w:left="420" w:hanging="420"/>
        <w:jc w:val="center"/>
        <w:rPr>
          <w:rFonts w:hint="eastAsia" w:ascii="宋体" w:hAnsi="宋体"/>
          <w:b/>
          <w:bCs/>
          <w:sz w:val="28"/>
          <w:szCs w:val="28"/>
        </w:rPr>
      </w:pPr>
    </w:p>
    <w:p>
      <w:pPr>
        <w:pStyle w:val="8"/>
        <w:spacing w:line="480" w:lineRule="auto"/>
        <w:ind w:left="420" w:hanging="420"/>
        <w:jc w:val="center"/>
        <w:rPr>
          <w:rFonts w:hint="eastAsia" w:ascii="宋体" w:hAnsi="宋体"/>
          <w:b/>
          <w:bCs/>
          <w:sz w:val="28"/>
          <w:szCs w:val="28"/>
        </w:rPr>
      </w:pPr>
    </w:p>
    <w:p>
      <w:pPr>
        <w:pStyle w:val="8"/>
        <w:spacing w:line="480" w:lineRule="auto"/>
        <w:ind w:left="420" w:hanging="420"/>
        <w:jc w:val="center"/>
        <w:rPr>
          <w:rFonts w:hint="eastAsia" w:ascii="宋体" w:hAnsi="宋体"/>
          <w:b/>
          <w:bCs/>
          <w:sz w:val="28"/>
          <w:szCs w:val="28"/>
        </w:rPr>
      </w:pPr>
    </w:p>
    <w:p>
      <w:pPr>
        <w:pStyle w:val="8"/>
        <w:spacing w:line="480" w:lineRule="auto"/>
        <w:ind w:left="420" w:hanging="420"/>
        <w:jc w:val="center"/>
        <w:rPr>
          <w:rFonts w:hint="eastAsia" w:ascii="宋体" w:hAnsi="宋体"/>
          <w:b/>
          <w:bCs/>
          <w:sz w:val="28"/>
          <w:szCs w:val="28"/>
        </w:rPr>
      </w:pPr>
    </w:p>
    <w:p>
      <w:pPr>
        <w:pStyle w:val="8"/>
        <w:spacing w:line="480" w:lineRule="auto"/>
        <w:ind w:left="420" w:hanging="420"/>
        <w:jc w:val="center"/>
        <w:rPr>
          <w:rFonts w:hint="eastAsia" w:ascii="宋体" w:hAnsi="宋体"/>
          <w:b/>
          <w:bCs/>
          <w:sz w:val="28"/>
          <w:szCs w:val="28"/>
        </w:rPr>
      </w:pPr>
    </w:p>
    <w:p>
      <w:pPr>
        <w:pStyle w:val="8"/>
        <w:spacing w:line="480" w:lineRule="auto"/>
        <w:ind w:left="420" w:hanging="420"/>
        <w:jc w:val="center"/>
        <w:rPr>
          <w:rFonts w:ascii="宋体" w:hAnsi="宋体"/>
          <w:b/>
          <w:bCs/>
          <w:sz w:val="28"/>
          <w:szCs w:val="28"/>
        </w:rPr>
      </w:pPr>
      <w:r>
        <w:rPr>
          <w:rFonts w:hint="eastAsia" w:ascii="宋体" w:hAnsi="宋体"/>
          <w:b/>
          <w:bCs/>
          <w:sz w:val="28"/>
          <w:szCs w:val="28"/>
        </w:rPr>
        <w:t>特别提示与要求！</w:t>
      </w:r>
    </w:p>
    <w:p>
      <w:pPr>
        <w:pStyle w:val="17"/>
        <w:spacing w:line="360" w:lineRule="auto"/>
        <w:ind w:firstLine="540" w:firstLineChars="225"/>
        <w:rPr>
          <w:rFonts w:hint="eastAsia" w:hAnsi="宋体"/>
          <w:b/>
          <w:kern w:val="0"/>
          <w:sz w:val="24"/>
          <w:szCs w:val="24"/>
        </w:rPr>
      </w:pPr>
      <w:r>
        <w:rPr>
          <w:rFonts w:hint="eastAsia" w:hAnsi="宋体"/>
          <w:kern w:val="0"/>
          <w:sz w:val="24"/>
          <w:szCs w:val="24"/>
        </w:rPr>
        <w:t>请投标人严格按照表格内容及要求制作投标文件，所有证书类文件提供扫描件且必须在有效期内，表中带★的材料将作为投标人资格性和符合性审查的重要内容之一。</w:t>
      </w:r>
      <w:r>
        <w:rPr>
          <w:rFonts w:hint="eastAsia" w:hAnsi="宋体"/>
          <w:b/>
          <w:kern w:val="0"/>
          <w:sz w:val="24"/>
          <w:szCs w:val="24"/>
        </w:rPr>
        <w:t>如★内容未按上述规定上传投标材料，将严重影响评审结果。</w:t>
      </w:r>
    </w:p>
    <w:p>
      <w:pPr>
        <w:pStyle w:val="9"/>
        <w:rPr>
          <w:rFonts w:hint="eastAsia" w:hAnsi="宋体"/>
          <w:b/>
          <w:kern w:val="0"/>
          <w:sz w:val="24"/>
          <w:szCs w:val="24"/>
        </w:rPr>
      </w:pPr>
    </w:p>
    <w:p>
      <w:pPr>
        <w:pStyle w:val="9"/>
        <w:rPr>
          <w:rFonts w:hint="eastAsia" w:hAnsi="宋体"/>
          <w:b/>
          <w:kern w:val="0"/>
          <w:sz w:val="24"/>
          <w:szCs w:val="24"/>
        </w:rPr>
      </w:pPr>
    </w:p>
    <w:p>
      <w:pPr>
        <w:pStyle w:val="9"/>
        <w:rPr>
          <w:rFonts w:hint="eastAsia" w:hAnsi="宋体"/>
          <w:b/>
          <w:kern w:val="0"/>
          <w:sz w:val="24"/>
          <w:szCs w:val="24"/>
        </w:rPr>
      </w:pPr>
    </w:p>
    <w:p>
      <w:pPr>
        <w:pStyle w:val="9"/>
        <w:rPr>
          <w:rFonts w:hint="eastAsia" w:hAnsi="宋体"/>
          <w:b/>
          <w:kern w:val="0"/>
          <w:sz w:val="24"/>
          <w:szCs w:val="24"/>
        </w:rPr>
      </w:pPr>
    </w:p>
    <w:p>
      <w:pPr>
        <w:pStyle w:val="9"/>
        <w:ind w:firstLine="723" w:firstLineChars="300"/>
        <w:rPr>
          <w:rFonts w:hint="default" w:hAnsi="宋体" w:eastAsia="宋体"/>
          <w:b/>
          <w:kern w:val="0"/>
          <w:sz w:val="24"/>
          <w:szCs w:val="24"/>
          <w:lang w:val="en-US" w:eastAsia="zh-CN"/>
        </w:rPr>
      </w:pPr>
      <w:r>
        <w:rPr>
          <w:rFonts w:hint="eastAsia" w:hAnsi="宋体"/>
          <w:b/>
          <w:kern w:val="0"/>
          <w:sz w:val="24"/>
          <w:szCs w:val="24"/>
        </w:rPr>
        <w:t>请确认参与投标广州电缆厂有限公司202</w:t>
      </w:r>
      <w:r>
        <w:rPr>
          <w:rFonts w:hint="eastAsia" w:hAnsi="宋体"/>
          <w:b/>
          <w:kern w:val="0"/>
          <w:sz w:val="24"/>
          <w:szCs w:val="24"/>
          <w:lang w:val="en-US" w:eastAsia="zh-CN"/>
        </w:rPr>
        <w:t>2</w:t>
      </w:r>
      <w:r>
        <w:rPr>
          <w:rFonts w:hint="eastAsia" w:hAnsi="宋体"/>
          <w:b/>
          <w:kern w:val="0"/>
          <w:sz w:val="24"/>
          <w:szCs w:val="24"/>
        </w:rPr>
        <w:t>年度</w:t>
      </w:r>
      <w:r>
        <w:rPr>
          <w:rFonts w:hint="eastAsia" w:hAnsi="宋体"/>
          <w:b/>
          <w:kern w:val="0"/>
          <w:sz w:val="24"/>
          <w:szCs w:val="24"/>
          <w:lang w:eastAsia="zh-CN"/>
        </w:rPr>
        <w:t>芜湖仓物流运输</w:t>
      </w:r>
      <w:r>
        <w:rPr>
          <w:rFonts w:hint="eastAsia" w:hAnsi="宋体"/>
          <w:b/>
          <w:kern w:val="0"/>
          <w:sz w:val="24"/>
          <w:szCs w:val="24"/>
        </w:rPr>
        <w:t>采购招标项目的投标人，需按以下回执格式填写回执并于202</w:t>
      </w:r>
      <w:r>
        <w:rPr>
          <w:rFonts w:hint="eastAsia" w:hAnsi="宋体"/>
          <w:b/>
          <w:kern w:val="0"/>
          <w:sz w:val="24"/>
          <w:szCs w:val="24"/>
          <w:lang w:val="en-US" w:eastAsia="zh-CN"/>
        </w:rPr>
        <w:t>2</w:t>
      </w:r>
      <w:r>
        <w:rPr>
          <w:rFonts w:hint="eastAsia" w:hAnsi="宋体"/>
          <w:b/>
          <w:kern w:val="0"/>
          <w:sz w:val="24"/>
          <w:szCs w:val="24"/>
        </w:rPr>
        <w:t xml:space="preserve">年 </w:t>
      </w:r>
      <w:r>
        <w:rPr>
          <w:rFonts w:hint="eastAsia" w:hAnsi="宋体"/>
          <w:b/>
          <w:kern w:val="0"/>
          <w:sz w:val="24"/>
          <w:szCs w:val="24"/>
          <w:lang w:val="en-US" w:eastAsia="zh-CN"/>
        </w:rPr>
        <w:t>10</w:t>
      </w:r>
      <w:r>
        <w:rPr>
          <w:rFonts w:hint="eastAsia" w:hAnsi="宋体"/>
          <w:b/>
          <w:kern w:val="0"/>
          <w:sz w:val="24"/>
          <w:szCs w:val="24"/>
        </w:rPr>
        <w:t>月</w:t>
      </w:r>
      <w:r>
        <w:rPr>
          <w:rFonts w:hint="eastAsia" w:hAnsi="宋体"/>
          <w:b/>
          <w:kern w:val="0"/>
          <w:sz w:val="24"/>
          <w:szCs w:val="24"/>
          <w:lang w:val="en-US" w:eastAsia="zh-CN"/>
        </w:rPr>
        <w:t>25</w:t>
      </w:r>
      <w:r>
        <w:rPr>
          <w:rFonts w:hint="eastAsia" w:hAnsi="宋体"/>
          <w:b/>
          <w:kern w:val="0"/>
          <w:sz w:val="24"/>
          <w:szCs w:val="24"/>
        </w:rPr>
        <w:t xml:space="preserve">日17:00前盖章扫描发送至邮箱caigoubu@gzdlc.com.cn或邮寄至：广州市南沙区榄核镇榄张路51号 广州电缆厂有限公司 采购部 </w:t>
      </w:r>
      <w:r>
        <w:rPr>
          <w:rFonts w:hint="eastAsia" w:hAnsi="宋体"/>
          <w:b/>
          <w:kern w:val="0"/>
          <w:sz w:val="24"/>
          <w:szCs w:val="24"/>
          <w:lang w:eastAsia="zh-CN"/>
        </w:rPr>
        <w:t>吴梓曦</w:t>
      </w:r>
      <w:r>
        <w:rPr>
          <w:rFonts w:hint="eastAsia" w:hAnsi="宋体"/>
          <w:b/>
          <w:kern w:val="0"/>
          <w:sz w:val="24"/>
          <w:szCs w:val="24"/>
        </w:rPr>
        <w:t xml:space="preserve"> </w:t>
      </w:r>
      <w:r>
        <w:rPr>
          <w:rFonts w:hint="eastAsia" w:hAnsi="宋体"/>
          <w:b/>
          <w:kern w:val="0"/>
          <w:sz w:val="24"/>
          <w:szCs w:val="24"/>
          <w:lang w:val="en-US" w:eastAsia="zh-CN"/>
        </w:rPr>
        <w:t>18302083034</w:t>
      </w: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pStyle w:val="2"/>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pStyle w:val="2"/>
      </w:pPr>
    </w:p>
    <w:p>
      <w:pPr>
        <w:spacing w:line="360" w:lineRule="auto"/>
        <w:jc w:val="center"/>
        <w:rPr>
          <w:rFonts w:ascii="宋体" w:hAnsi="宋体"/>
          <w:sz w:val="24"/>
          <w:szCs w:val="24"/>
        </w:rPr>
      </w:pPr>
    </w:p>
    <w:p>
      <w:pPr>
        <w:spacing w:line="360" w:lineRule="auto"/>
        <w:jc w:val="center"/>
        <w:rPr>
          <w:rFonts w:ascii="宋体" w:hAnsi="宋体"/>
          <w:sz w:val="24"/>
          <w:szCs w:val="24"/>
        </w:rPr>
      </w:pPr>
    </w:p>
    <w:p>
      <w:pPr>
        <w:spacing w:line="360" w:lineRule="auto"/>
        <w:ind w:firstLine="4320" w:firstLineChars="1800"/>
        <w:rPr>
          <w:rFonts w:ascii="宋体" w:hAnsi="宋体"/>
          <w:sz w:val="24"/>
          <w:szCs w:val="24"/>
        </w:rPr>
      </w:pPr>
      <w:r>
        <w:rPr>
          <w:rFonts w:ascii="宋体" w:hAnsi="宋体"/>
          <w:sz w:val="24"/>
          <w:szCs w:val="24"/>
        </w:rPr>
        <w:t>回  执</w:t>
      </w:r>
    </w:p>
    <w:p>
      <w:pPr>
        <w:pStyle w:val="2"/>
        <w:rPr>
          <w:rFonts w:ascii="宋体" w:hAnsi="宋体"/>
          <w:sz w:val="24"/>
          <w:szCs w:val="24"/>
        </w:rPr>
      </w:pPr>
    </w:p>
    <w:p>
      <w:pPr>
        <w:pStyle w:val="2"/>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我公司</w:t>
      </w:r>
      <w:r>
        <w:rPr>
          <w:rFonts w:ascii="宋体" w:hAnsi="宋体"/>
          <w:sz w:val="24"/>
          <w:szCs w:val="24"/>
          <w:u w:val="single"/>
        </w:rPr>
        <w:t xml:space="preserve">                                  </w:t>
      </w:r>
      <w:r>
        <w:rPr>
          <w:rFonts w:ascii="宋体" w:hAnsi="宋体"/>
          <w:sz w:val="24"/>
          <w:szCs w:val="24"/>
        </w:rPr>
        <w:t>已收到广州电缆厂有限公司</w:t>
      </w:r>
      <w:r>
        <w:rPr>
          <w:rFonts w:hint="eastAsia" w:ascii="宋体" w:hAnsi="宋体"/>
          <w:sz w:val="24"/>
          <w:szCs w:val="24"/>
          <w:lang w:eastAsia="zh-CN"/>
        </w:rPr>
        <w:t>芜湖仓运输服务</w:t>
      </w:r>
      <w:r>
        <w:rPr>
          <w:rFonts w:ascii="宋体" w:hAnsi="宋体"/>
          <w:sz w:val="24"/>
          <w:szCs w:val="24"/>
        </w:rPr>
        <w:t>采购项目的招标文件，并已充分知悉招标文件所有条款和要求，确定参与</w:t>
      </w:r>
      <w:r>
        <w:rPr>
          <w:rFonts w:hint="eastAsia" w:ascii="宋体" w:hAnsi="宋体"/>
          <w:sz w:val="24"/>
          <w:szCs w:val="24"/>
        </w:rPr>
        <w:t>/不参与</w:t>
      </w:r>
      <w:r>
        <w:rPr>
          <w:rFonts w:ascii="宋体" w:hAnsi="宋体"/>
          <w:sz w:val="24"/>
          <w:szCs w:val="24"/>
        </w:rPr>
        <w:t>投标。</w:t>
      </w:r>
    </w:p>
    <w:p>
      <w:pPr>
        <w:spacing w:line="360" w:lineRule="auto"/>
        <w:rPr>
          <w:rFonts w:ascii="宋体" w:hAnsi="宋体"/>
          <w:sz w:val="24"/>
          <w:szCs w:val="24"/>
        </w:rPr>
      </w:pPr>
      <w:r>
        <w:rPr>
          <w:rFonts w:ascii="宋体" w:hAnsi="宋体"/>
          <w:sz w:val="24"/>
          <w:szCs w:val="24"/>
        </w:rPr>
        <w:t xml:space="preserve">                                                                          </w:t>
      </w:r>
    </w:p>
    <w:p>
      <w:pPr>
        <w:spacing w:line="360" w:lineRule="auto"/>
        <w:rPr>
          <w:rFonts w:ascii="宋体" w:hAnsi="宋体"/>
          <w:sz w:val="24"/>
          <w:szCs w:val="24"/>
        </w:rPr>
      </w:pPr>
    </w:p>
    <w:p>
      <w:pPr>
        <w:spacing w:line="360" w:lineRule="auto"/>
        <w:rPr>
          <w:rFonts w:ascii="宋体" w:hAnsi="宋体"/>
          <w:sz w:val="24"/>
          <w:szCs w:val="24"/>
        </w:rPr>
      </w:pPr>
    </w:p>
    <w:p>
      <w:pPr>
        <w:spacing w:line="360" w:lineRule="auto"/>
        <w:ind w:firstLine="5520" w:firstLineChars="2300"/>
        <w:rPr>
          <w:rFonts w:ascii="宋体" w:hAnsi="宋体"/>
          <w:sz w:val="24"/>
          <w:szCs w:val="24"/>
        </w:rPr>
      </w:pPr>
      <w:r>
        <w:rPr>
          <w:rFonts w:ascii="宋体" w:hAnsi="宋体"/>
          <w:sz w:val="24"/>
          <w:szCs w:val="24"/>
        </w:rPr>
        <w:t>投标人（盖章）：</w:t>
      </w:r>
    </w:p>
    <w:p>
      <w:pPr>
        <w:spacing w:line="360" w:lineRule="auto"/>
        <w:rPr>
          <w:rFonts w:ascii="宋体" w:hAnsi="宋体"/>
          <w:sz w:val="24"/>
          <w:szCs w:val="24"/>
        </w:rPr>
      </w:pPr>
      <w:r>
        <w:rPr>
          <w:rFonts w:ascii="宋体" w:hAnsi="宋体"/>
          <w:sz w:val="24"/>
          <w:szCs w:val="24"/>
        </w:rPr>
        <w:t xml:space="preserve">                                              年        月       日</w:t>
      </w: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bookmarkStart w:id="349" w:name="EB435b31d7348145f6ba3789d579ec8cae"/>
    </w:p>
    <w:p>
      <w:pPr>
        <w:rPr>
          <w:rFonts w:hint="eastAsia" w:ascii="宋体" w:hAnsi="宋体"/>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jc w:val="center"/>
        <w:rPr>
          <w:rFonts w:hint="eastAsia" w:hAnsi="宋体"/>
          <w:b/>
          <w:sz w:val="28"/>
          <w:szCs w:val="28"/>
        </w:rPr>
      </w:pPr>
    </w:p>
    <w:p>
      <w:pPr>
        <w:pStyle w:val="18"/>
        <w:spacing w:line="360" w:lineRule="auto"/>
        <w:ind w:firstLine="3654" w:firstLineChars="1300"/>
        <w:jc w:val="both"/>
        <w:rPr>
          <w:rFonts w:hint="eastAsia" w:hAnsi="宋体"/>
          <w:b/>
          <w:sz w:val="28"/>
          <w:szCs w:val="28"/>
        </w:rPr>
      </w:pPr>
      <w:r>
        <w:rPr>
          <w:rFonts w:hint="eastAsia" w:hAnsi="宋体"/>
          <w:b/>
          <w:sz w:val="28"/>
          <w:szCs w:val="28"/>
        </w:rPr>
        <w:t>投标承诺函</w:t>
      </w:r>
    </w:p>
    <w:p>
      <w:pPr>
        <w:pStyle w:val="19"/>
        <w:spacing w:line="336" w:lineRule="auto"/>
        <w:ind w:right="84" w:rightChars="40"/>
        <w:rPr>
          <w:rFonts w:hint="eastAsia" w:ascii="宋体" w:hAnsi="宋体"/>
          <w:sz w:val="24"/>
        </w:rPr>
      </w:pPr>
      <w:r>
        <w:rPr>
          <w:rFonts w:hint="eastAsia" w:ascii="宋体" w:hAnsi="宋体"/>
          <w:sz w:val="24"/>
        </w:rPr>
        <w:t>广州电缆厂有限公司：：</w:t>
      </w:r>
    </w:p>
    <w:p>
      <w:pPr>
        <w:pStyle w:val="19"/>
        <w:tabs>
          <w:tab w:val="left" w:pos="9450"/>
        </w:tabs>
        <w:spacing w:line="336" w:lineRule="auto"/>
        <w:ind w:right="84" w:rightChars="40" w:firstLine="480" w:firstLineChars="200"/>
        <w:rPr>
          <w:rFonts w:hint="eastAsia" w:ascii="宋体" w:hAnsi="宋体"/>
          <w:sz w:val="24"/>
        </w:rPr>
      </w:pPr>
      <w:r>
        <w:rPr>
          <w:rFonts w:hint="eastAsia" w:ascii="宋体" w:hAnsi="宋体"/>
          <w:sz w:val="24"/>
        </w:rPr>
        <w:t>我方确认收到贵方提供的“</w:t>
      </w:r>
      <w:r>
        <w:rPr>
          <w:rFonts w:hint="eastAsia" w:ascii="宋体" w:hAnsi="宋体"/>
          <w:color w:val="0000FF"/>
          <w:sz w:val="24"/>
        </w:rPr>
        <w:t>广州电缆厂有限公司202</w:t>
      </w:r>
      <w:r>
        <w:rPr>
          <w:rFonts w:hint="eastAsia" w:ascii="宋体" w:hAnsi="宋体"/>
          <w:color w:val="0000FF"/>
          <w:sz w:val="24"/>
          <w:lang w:val="en-US" w:eastAsia="zh-CN"/>
        </w:rPr>
        <w:t>2</w:t>
      </w:r>
      <w:r>
        <w:rPr>
          <w:rFonts w:hint="eastAsia" w:ascii="宋体" w:hAnsi="宋体"/>
          <w:color w:val="0000FF"/>
          <w:sz w:val="24"/>
        </w:rPr>
        <w:t>年度</w:t>
      </w:r>
      <w:r>
        <w:rPr>
          <w:rFonts w:hint="eastAsia" w:ascii="宋体" w:hAnsi="宋体"/>
          <w:color w:val="0000FF"/>
          <w:sz w:val="24"/>
          <w:lang w:eastAsia="zh-CN"/>
        </w:rPr>
        <w:t>芜湖仓物流运输</w:t>
      </w:r>
      <w:r>
        <w:rPr>
          <w:rFonts w:hint="eastAsia" w:ascii="宋体" w:hAnsi="宋体"/>
          <w:color w:val="0000FF"/>
          <w:sz w:val="24"/>
        </w:rPr>
        <w:t>采购招标项目”</w:t>
      </w:r>
      <w:r>
        <w:rPr>
          <w:rFonts w:hint="eastAsia" w:ascii="宋体" w:hAnsi="宋体"/>
          <w:sz w:val="24"/>
        </w:rPr>
        <w:t>的招标文件，已完全理解招标文件的所有内容。决定投标本项目，据此我方承诺如下：</w:t>
      </w:r>
    </w:p>
    <w:p>
      <w:pPr>
        <w:pStyle w:val="20"/>
        <w:keepNext w:val="0"/>
        <w:keepLines w:val="0"/>
        <w:numPr>
          <w:ilvl w:val="0"/>
          <w:numId w:val="23"/>
        </w:numPr>
        <w:autoSpaceDE w:val="0"/>
        <w:autoSpaceDN w:val="0"/>
        <w:adjustRightInd w:val="0"/>
        <w:snapToGrid w:val="0"/>
        <w:spacing w:before="0" w:after="0" w:line="336" w:lineRule="auto"/>
        <w:ind w:left="0" w:firstLine="540" w:firstLineChars="225"/>
        <w:rPr>
          <w:rFonts w:hint="eastAsia" w:hAnsi="宋体"/>
          <w:b w:val="0"/>
          <w:sz w:val="24"/>
          <w:szCs w:val="24"/>
        </w:rPr>
      </w:pPr>
      <w:r>
        <w:rPr>
          <w:rFonts w:hint="eastAsia" w:hAnsi="宋体"/>
          <w:b w:val="0"/>
          <w:sz w:val="24"/>
          <w:szCs w:val="24"/>
        </w:rPr>
        <w:t>我方的投标文件在投标截止日后90天（日历天）内保持有效，如中标，有效期将延至本项目《广州市政府采购合同》执行期满日为止。</w:t>
      </w:r>
    </w:p>
    <w:p>
      <w:pPr>
        <w:pStyle w:val="20"/>
        <w:keepNext w:val="0"/>
        <w:keepLines w:val="0"/>
        <w:numPr>
          <w:ilvl w:val="0"/>
          <w:numId w:val="23"/>
        </w:numPr>
        <w:autoSpaceDE w:val="0"/>
        <w:autoSpaceDN w:val="0"/>
        <w:adjustRightInd w:val="0"/>
        <w:snapToGrid w:val="0"/>
        <w:spacing w:before="0" w:after="0" w:line="336" w:lineRule="auto"/>
        <w:ind w:left="0" w:firstLine="540" w:firstLineChars="225"/>
        <w:rPr>
          <w:rFonts w:hint="eastAsia" w:hAnsi="宋体"/>
          <w:b w:val="0"/>
          <w:sz w:val="24"/>
          <w:szCs w:val="24"/>
        </w:rPr>
      </w:pPr>
      <w:r>
        <w:rPr>
          <w:rFonts w:hAnsi="宋体"/>
          <w:b w:val="0"/>
          <w:sz w:val="24"/>
          <w:szCs w:val="24"/>
        </w:rPr>
        <w:t>我方在参与投标前已仔细研究了招标文件和所有相关资料，我方完全明白并认为此招标文件没有倾向性，也没有存在排斥潜在投标人的内容，我方同意招标文件的相关条款，放弃对招标文件提出误解和质疑的一切权</w:t>
      </w:r>
      <w:r>
        <w:rPr>
          <w:rFonts w:hint="eastAsia" w:hAnsi="宋体"/>
          <w:b w:val="0"/>
          <w:sz w:val="24"/>
          <w:szCs w:val="24"/>
        </w:rPr>
        <w:t>利</w:t>
      </w:r>
      <w:r>
        <w:rPr>
          <w:rFonts w:hAnsi="宋体"/>
          <w:b w:val="0"/>
          <w:sz w:val="24"/>
          <w:szCs w:val="24"/>
        </w:rPr>
        <w:t>。</w:t>
      </w:r>
    </w:p>
    <w:p>
      <w:pPr>
        <w:pStyle w:val="20"/>
        <w:keepNext w:val="0"/>
        <w:keepLines w:val="0"/>
        <w:numPr>
          <w:ilvl w:val="0"/>
          <w:numId w:val="23"/>
        </w:numPr>
        <w:autoSpaceDE w:val="0"/>
        <w:autoSpaceDN w:val="0"/>
        <w:adjustRightInd w:val="0"/>
        <w:snapToGrid w:val="0"/>
        <w:spacing w:before="0" w:after="0" w:line="336" w:lineRule="auto"/>
        <w:ind w:left="0" w:firstLine="540" w:firstLineChars="225"/>
        <w:rPr>
          <w:rFonts w:hint="eastAsia" w:hAnsi="宋体"/>
          <w:b w:val="0"/>
          <w:sz w:val="24"/>
          <w:szCs w:val="24"/>
        </w:rPr>
      </w:pPr>
      <w:r>
        <w:rPr>
          <w:rFonts w:hint="eastAsia" w:hAnsi="宋体"/>
          <w:b w:val="0"/>
          <w:sz w:val="24"/>
          <w:szCs w:val="24"/>
        </w:rPr>
        <w:t>我方声明投标文件及所提供的一切资料均真实无误及有效。由于我方提供资料不实而造成的责任和后果由我方承担。我方同意按照贵方</w:t>
      </w:r>
      <w:r>
        <w:rPr>
          <w:rFonts w:hint="eastAsia" w:hAnsi="宋体"/>
          <w:b w:val="0"/>
          <w:sz w:val="24"/>
        </w:rPr>
        <w:t>可能</w:t>
      </w:r>
      <w:r>
        <w:rPr>
          <w:rFonts w:hint="eastAsia" w:hAnsi="宋体"/>
          <w:b w:val="0"/>
          <w:sz w:val="24"/>
          <w:szCs w:val="24"/>
        </w:rPr>
        <w:t>提出的要求，提供与投标有关的任何其它数据或信息。</w:t>
      </w:r>
    </w:p>
    <w:p>
      <w:pPr>
        <w:pStyle w:val="20"/>
        <w:keepNext w:val="0"/>
        <w:keepLines w:val="0"/>
        <w:numPr>
          <w:ilvl w:val="0"/>
          <w:numId w:val="23"/>
        </w:numPr>
        <w:autoSpaceDE w:val="0"/>
        <w:autoSpaceDN w:val="0"/>
        <w:adjustRightInd w:val="0"/>
        <w:snapToGrid w:val="0"/>
        <w:spacing w:before="0" w:after="0" w:line="336" w:lineRule="auto"/>
        <w:ind w:left="0" w:firstLine="540" w:firstLineChars="225"/>
        <w:rPr>
          <w:rFonts w:hint="eastAsia" w:hAnsi="宋体"/>
          <w:b w:val="0"/>
          <w:sz w:val="24"/>
          <w:szCs w:val="24"/>
        </w:rPr>
      </w:pPr>
      <w:r>
        <w:rPr>
          <w:rFonts w:hint="eastAsia" w:hAnsi="宋体"/>
          <w:b w:val="0"/>
          <w:sz w:val="24"/>
          <w:szCs w:val="24"/>
        </w:rPr>
        <w:t>我方理解贵方不一定接受最低报价的投标。</w:t>
      </w:r>
    </w:p>
    <w:p>
      <w:pPr>
        <w:pStyle w:val="20"/>
        <w:keepNext w:val="0"/>
        <w:keepLines w:val="0"/>
        <w:numPr>
          <w:ilvl w:val="0"/>
          <w:numId w:val="23"/>
        </w:numPr>
        <w:autoSpaceDE w:val="0"/>
        <w:autoSpaceDN w:val="0"/>
        <w:adjustRightInd w:val="0"/>
        <w:snapToGrid w:val="0"/>
        <w:spacing w:before="0" w:after="0" w:line="336" w:lineRule="auto"/>
        <w:ind w:left="0" w:firstLine="540" w:firstLineChars="225"/>
        <w:rPr>
          <w:rFonts w:hint="eastAsia" w:hAnsi="宋体"/>
          <w:b w:val="0"/>
          <w:sz w:val="24"/>
          <w:szCs w:val="24"/>
        </w:rPr>
      </w:pPr>
      <w:r>
        <w:rPr>
          <w:rFonts w:hint="eastAsia" w:hAnsi="宋体"/>
          <w:b w:val="0"/>
          <w:sz w:val="24"/>
          <w:szCs w:val="24"/>
        </w:rPr>
        <w:t>我方保证，采购人在中华人民共和国境内使用我方报价货物、资料、技术、服务或其任何一部分时，享有不受限制的无偿使用权，如有第三方向采购人提出侵犯其专利权、商标权或其它知识产权的主张，该责任由我方承担。我方的报价已包含所有应向所有权人支付的专利权、商标权或其它知识产权的一切相关费用。</w:t>
      </w:r>
    </w:p>
    <w:p>
      <w:pPr>
        <w:pStyle w:val="20"/>
        <w:keepNext w:val="0"/>
        <w:keepLines w:val="0"/>
        <w:numPr>
          <w:ilvl w:val="0"/>
          <w:numId w:val="23"/>
        </w:numPr>
        <w:autoSpaceDE w:val="0"/>
        <w:autoSpaceDN w:val="0"/>
        <w:adjustRightInd w:val="0"/>
        <w:snapToGrid w:val="0"/>
        <w:spacing w:before="0" w:after="0" w:line="336" w:lineRule="auto"/>
        <w:ind w:left="0" w:firstLine="540" w:firstLineChars="225"/>
        <w:rPr>
          <w:rFonts w:hint="eastAsia" w:hAnsi="宋体"/>
          <w:b w:val="0"/>
          <w:sz w:val="24"/>
          <w:szCs w:val="24"/>
        </w:rPr>
      </w:pPr>
      <w:r>
        <w:rPr>
          <w:rFonts w:hint="eastAsia" w:hAnsi="宋体"/>
          <w:b w:val="0"/>
          <w:sz w:val="24"/>
          <w:szCs w:val="24"/>
        </w:rPr>
        <w:t>所有与本项目有关的函件请发往下列地址：</w:t>
      </w:r>
    </w:p>
    <w:tbl>
      <w:tblPr>
        <w:tblStyle w:val="14"/>
        <w:tblW w:w="9020"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20"/>
        <w:gridCol w:w="1800"/>
        <w:gridCol w:w="900"/>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vAlign w:val="top"/>
          </w:tcPr>
          <w:p>
            <w:pPr>
              <w:pStyle w:val="19"/>
              <w:tabs>
                <w:tab w:val="left" w:pos="0"/>
              </w:tabs>
              <w:spacing w:line="360" w:lineRule="auto"/>
              <w:ind w:right="25" w:rightChars="12"/>
              <w:rPr>
                <w:rFonts w:hint="eastAsia" w:ascii="宋体" w:hAnsi="宋体"/>
                <w:sz w:val="24"/>
              </w:rPr>
            </w:pPr>
            <w:r>
              <w:rPr>
                <w:rFonts w:hint="eastAsia" w:ascii="宋体" w:hAnsi="宋体"/>
                <w:sz w:val="24"/>
              </w:rPr>
              <w:t>地址（邮编）</w:t>
            </w:r>
          </w:p>
        </w:tc>
        <w:tc>
          <w:tcPr>
            <w:tcW w:w="5220" w:type="dxa"/>
            <w:gridSpan w:val="2"/>
            <w:vAlign w:val="top"/>
          </w:tcPr>
          <w:p>
            <w:pPr>
              <w:pStyle w:val="19"/>
              <w:tabs>
                <w:tab w:val="left" w:pos="0"/>
              </w:tabs>
              <w:spacing w:line="360" w:lineRule="auto"/>
              <w:ind w:right="25" w:rightChars="12"/>
              <w:rPr>
                <w:rFonts w:hint="eastAsia" w:ascii="宋体" w:hAnsi="宋体"/>
                <w:sz w:val="24"/>
              </w:rPr>
            </w:pPr>
          </w:p>
        </w:tc>
        <w:tc>
          <w:tcPr>
            <w:tcW w:w="900" w:type="dxa"/>
            <w:vAlign w:val="top"/>
          </w:tcPr>
          <w:p>
            <w:pPr>
              <w:pStyle w:val="19"/>
              <w:tabs>
                <w:tab w:val="left" w:pos="0"/>
              </w:tabs>
              <w:spacing w:line="360" w:lineRule="auto"/>
              <w:ind w:right="25" w:rightChars="12"/>
              <w:rPr>
                <w:rFonts w:hint="eastAsia" w:ascii="宋体" w:hAnsi="宋体"/>
                <w:sz w:val="24"/>
              </w:rPr>
            </w:pPr>
            <w:r>
              <w:rPr>
                <w:rFonts w:hint="eastAsia" w:ascii="宋体" w:hAnsi="宋体"/>
                <w:sz w:val="24"/>
              </w:rPr>
              <w:t>传真</w:t>
            </w:r>
          </w:p>
        </w:tc>
        <w:tc>
          <w:tcPr>
            <w:tcW w:w="1280" w:type="dxa"/>
            <w:vAlign w:val="top"/>
          </w:tcPr>
          <w:p>
            <w:pPr>
              <w:pStyle w:val="19"/>
              <w:tabs>
                <w:tab w:val="left" w:pos="0"/>
              </w:tabs>
              <w:spacing w:line="360" w:lineRule="auto"/>
              <w:ind w:right="25" w:rightChars="12"/>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vAlign w:val="top"/>
          </w:tcPr>
          <w:p>
            <w:pPr>
              <w:pStyle w:val="19"/>
              <w:tabs>
                <w:tab w:val="left" w:pos="0"/>
              </w:tabs>
              <w:spacing w:line="360" w:lineRule="auto"/>
              <w:ind w:right="25" w:rightChars="12"/>
              <w:rPr>
                <w:rFonts w:hint="eastAsia" w:ascii="宋体" w:hAnsi="宋体"/>
                <w:sz w:val="24"/>
              </w:rPr>
            </w:pPr>
            <w:r>
              <w:rPr>
                <w:rFonts w:hint="eastAsia" w:ascii="宋体" w:hAnsi="宋体"/>
                <w:sz w:val="24"/>
              </w:rPr>
              <w:t>电话、手机</w:t>
            </w:r>
          </w:p>
        </w:tc>
        <w:tc>
          <w:tcPr>
            <w:tcW w:w="3420" w:type="dxa"/>
            <w:vAlign w:val="top"/>
          </w:tcPr>
          <w:p>
            <w:pPr>
              <w:pStyle w:val="19"/>
              <w:tabs>
                <w:tab w:val="left" w:pos="0"/>
              </w:tabs>
              <w:spacing w:line="360" w:lineRule="auto"/>
              <w:ind w:right="25" w:rightChars="12"/>
              <w:rPr>
                <w:rFonts w:hint="eastAsia" w:ascii="宋体" w:hAnsi="宋体"/>
                <w:sz w:val="24"/>
              </w:rPr>
            </w:pPr>
          </w:p>
        </w:tc>
        <w:tc>
          <w:tcPr>
            <w:tcW w:w="1800" w:type="dxa"/>
            <w:vAlign w:val="top"/>
          </w:tcPr>
          <w:p>
            <w:pPr>
              <w:pStyle w:val="19"/>
              <w:tabs>
                <w:tab w:val="left" w:pos="0"/>
              </w:tabs>
              <w:spacing w:line="360" w:lineRule="auto"/>
              <w:ind w:right="25" w:rightChars="12"/>
              <w:rPr>
                <w:rFonts w:hint="eastAsia" w:ascii="宋体" w:hAnsi="宋体"/>
                <w:sz w:val="24"/>
              </w:rPr>
            </w:pPr>
            <w:r>
              <w:rPr>
                <w:rFonts w:hint="eastAsia" w:ascii="宋体" w:hAnsi="宋体"/>
                <w:sz w:val="24"/>
              </w:rPr>
              <w:t>联系人（职务）</w:t>
            </w:r>
          </w:p>
        </w:tc>
        <w:tc>
          <w:tcPr>
            <w:tcW w:w="2180" w:type="dxa"/>
            <w:gridSpan w:val="2"/>
            <w:vAlign w:val="top"/>
          </w:tcPr>
          <w:p>
            <w:pPr>
              <w:pStyle w:val="19"/>
              <w:tabs>
                <w:tab w:val="left" w:pos="0"/>
              </w:tabs>
              <w:spacing w:line="360" w:lineRule="auto"/>
              <w:ind w:right="25" w:rightChars="12"/>
              <w:rPr>
                <w:rFonts w:hint="eastAsia" w:ascii="宋体" w:hAnsi="宋体"/>
                <w:sz w:val="24"/>
              </w:rPr>
            </w:pPr>
          </w:p>
        </w:tc>
      </w:tr>
    </w:tbl>
    <w:p>
      <w:pPr>
        <w:pStyle w:val="19"/>
        <w:spacing w:line="360" w:lineRule="auto"/>
        <w:ind w:right="84" w:rightChars="40" w:firstLine="4080" w:firstLineChars="1700"/>
        <w:rPr>
          <w:rFonts w:hint="eastAsia" w:ascii="宋体" w:hAnsi="宋体"/>
          <w:sz w:val="24"/>
        </w:rPr>
      </w:pPr>
    </w:p>
    <w:p>
      <w:pPr>
        <w:pStyle w:val="19"/>
        <w:spacing w:line="360" w:lineRule="auto"/>
        <w:ind w:right="84" w:rightChars="40" w:firstLine="4080" w:firstLineChars="1700"/>
        <w:rPr>
          <w:rFonts w:hint="eastAsia" w:ascii="宋体" w:hAnsi="宋体"/>
          <w:sz w:val="24"/>
        </w:rPr>
      </w:pPr>
    </w:p>
    <w:p>
      <w:pPr>
        <w:pStyle w:val="19"/>
        <w:spacing w:line="360" w:lineRule="auto"/>
        <w:ind w:right="84" w:rightChars="40" w:firstLine="4080" w:firstLineChars="1700"/>
        <w:jc w:val="right"/>
        <w:rPr>
          <w:rFonts w:hint="eastAsia" w:ascii="宋体" w:hAnsi="宋体"/>
          <w:sz w:val="24"/>
        </w:rPr>
      </w:pPr>
      <w:r>
        <w:rPr>
          <w:rFonts w:hint="eastAsia" w:ascii="宋体" w:hAnsi="宋体"/>
          <w:sz w:val="24"/>
        </w:rPr>
        <w:t>日期：</w:t>
      </w:r>
      <w:r>
        <w:rPr>
          <w:rFonts w:hint="eastAsia" w:ascii="宋体" w:hAnsi="宋体" w:cs="Arial"/>
          <w:sz w:val="24"/>
        </w:rPr>
        <w:t>20  年   月   日</w:t>
      </w:r>
    </w:p>
    <w:p>
      <w:pPr>
        <w:pStyle w:val="19"/>
        <w:spacing w:line="360" w:lineRule="auto"/>
        <w:ind w:right="84" w:rightChars="40" w:firstLine="4080" w:firstLineChars="1700"/>
        <w:rPr>
          <w:rFonts w:hint="eastAsia" w:ascii="宋体" w:hAnsi="宋体"/>
          <w:sz w:val="24"/>
        </w:rPr>
      </w:pPr>
      <w:r>
        <w:rPr>
          <w:rFonts w:hint="eastAsia" w:ascii="宋体" w:hAnsi="宋体"/>
          <w:sz w:val="24"/>
        </w:rPr>
        <w:t xml:space="preserve">                  </w:t>
      </w:r>
    </w:p>
    <w:p>
      <w:pPr>
        <w:pStyle w:val="19"/>
      </w:pPr>
      <w:bookmarkStart w:id="350" w:name="_Toc37581429"/>
      <w:r>
        <w:rPr>
          <w:rFonts w:hint="eastAsia" w:ascii="宋体" w:hAnsi="宋体" w:cs="Arial"/>
          <w:bCs/>
          <w:sz w:val="24"/>
        </w:rPr>
        <w:t>说明：</w:t>
      </w:r>
      <w:r>
        <w:rPr>
          <w:rFonts w:ascii="宋体" w:hAnsi="宋体" w:cs="Arial"/>
          <w:bCs/>
          <w:sz w:val="24"/>
        </w:rPr>
        <w:t>本格式文件内容不得擅自删改。</w:t>
      </w:r>
      <w:bookmarkEnd w:id="350"/>
    </w:p>
    <w:p>
      <w:pPr>
        <w:pStyle w:val="22"/>
        <w:ind w:firstLine="562" w:firstLineChars="200"/>
        <w:jc w:val="center"/>
        <w:rPr>
          <w:rFonts w:hint="eastAsia" w:hAnsi="宋体"/>
          <w:b/>
          <w:sz w:val="28"/>
          <w:szCs w:val="28"/>
        </w:rPr>
      </w:pPr>
    </w:p>
    <w:p>
      <w:pPr>
        <w:pStyle w:val="22"/>
        <w:ind w:firstLine="562" w:firstLineChars="200"/>
        <w:jc w:val="center"/>
        <w:rPr>
          <w:rFonts w:hint="eastAsia" w:hAnsi="宋体"/>
          <w:b/>
          <w:sz w:val="28"/>
          <w:szCs w:val="28"/>
        </w:rPr>
      </w:pPr>
    </w:p>
    <w:p>
      <w:pPr>
        <w:pStyle w:val="22"/>
        <w:ind w:firstLine="562" w:firstLineChars="200"/>
        <w:jc w:val="center"/>
        <w:rPr>
          <w:rFonts w:hint="eastAsia" w:hAnsi="宋体"/>
          <w:b/>
          <w:sz w:val="28"/>
          <w:szCs w:val="28"/>
        </w:rPr>
      </w:pPr>
    </w:p>
    <w:p>
      <w:pPr>
        <w:pStyle w:val="22"/>
        <w:ind w:firstLine="562" w:firstLineChars="200"/>
        <w:jc w:val="center"/>
        <w:rPr>
          <w:rFonts w:hint="eastAsia" w:hAnsi="宋体"/>
          <w:b/>
          <w:sz w:val="28"/>
          <w:szCs w:val="28"/>
        </w:rPr>
      </w:pPr>
    </w:p>
    <w:p>
      <w:pPr>
        <w:pStyle w:val="22"/>
        <w:ind w:firstLine="3373" w:firstLineChars="1200"/>
        <w:jc w:val="both"/>
        <w:rPr>
          <w:rFonts w:hAnsi="宋体"/>
          <w:b/>
          <w:sz w:val="28"/>
          <w:szCs w:val="28"/>
        </w:rPr>
      </w:pPr>
      <w:r>
        <w:rPr>
          <w:rFonts w:hint="eastAsia" w:hAnsi="宋体"/>
          <w:b/>
          <w:sz w:val="28"/>
          <w:szCs w:val="28"/>
        </w:rPr>
        <w:t>投标人资格声明函</w:t>
      </w:r>
    </w:p>
    <w:p>
      <w:pPr>
        <w:pStyle w:val="22"/>
        <w:ind w:firstLine="482" w:firstLineChars="200"/>
        <w:jc w:val="center"/>
        <w:rPr>
          <w:rFonts w:hint="eastAsia" w:hAnsi="宋体"/>
          <w:b/>
          <w:sz w:val="24"/>
          <w:szCs w:val="24"/>
        </w:rPr>
      </w:pPr>
    </w:p>
    <w:p>
      <w:pPr>
        <w:pStyle w:val="21"/>
        <w:spacing w:line="336" w:lineRule="auto"/>
        <w:ind w:right="84" w:rightChars="40"/>
        <w:rPr>
          <w:rFonts w:hint="eastAsia" w:ascii="宋体" w:hAnsi="宋体"/>
          <w:sz w:val="24"/>
          <w:szCs w:val="24"/>
        </w:rPr>
      </w:pPr>
      <w:r>
        <w:rPr>
          <w:rFonts w:hint="eastAsia" w:ascii="宋体" w:hAnsi="宋体"/>
          <w:sz w:val="24"/>
          <w:szCs w:val="24"/>
        </w:rPr>
        <w:t>广州电缆厂有限公司：</w:t>
      </w:r>
    </w:p>
    <w:p>
      <w:pPr>
        <w:pStyle w:val="21"/>
        <w:spacing w:line="336" w:lineRule="auto"/>
        <w:ind w:right="84" w:rightChars="40" w:firstLine="480" w:firstLineChars="200"/>
        <w:rPr>
          <w:rFonts w:hint="eastAsia" w:ascii="宋体" w:hAnsi="宋体"/>
          <w:sz w:val="24"/>
          <w:szCs w:val="24"/>
        </w:rPr>
      </w:pPr>
      <w:r>
        <w:rPr>
          <w:rFonts w:hint="eastAsia" w:ascii="宋体" w:hAnsi="宋体"/>
          <w:sz w:val="24"/>
          <w:szCs w:val="24"/>
        </w:rPr>
        <w:t>关于贵方　 　年　　月　　日发布关于“</w:t>
      </w:r>
      <w:r>
        <w:rPr>
          <w:rFonts w:hint="eastAsia" w:ascii="宋体" w:hAnsi="宋体"/>
          <w:color w:val="0000FF"/>
          <w:sz w:val="24"/>
        </w:rPr>
        <w:t>广州电缆厂有限公司202</w:t>
      </w:r>
      <w:r>
        <w:rPr>
          <w:rFonts w:hint="eastAsia" w:ascii="宋体" w:hAnsi="宋体"/>
          <w:color w:val="0000FF"/>
          <w:sz w:val="24"/>
          <w:lang w:val="en-US" w:eastAsia="zh-CN"/>
        </w:rPr>
        <w:t>2</w:t>
      </w:r>
      <w:r>
        <w:rPr>
          <w:rFonts w:hint="eastAsia" w:ascii="宋体" w:hAnsi="宋体"/>
          <w:color w:val="0000FF"/>
          <w:sz w:val="24"/>
        </w:rPr>
        <w:t>年度</w:t>
      </w:r>
      <w:r>
        <w:rPr>
          <w:rFonts w:hint="eastAsia" w:ascii="宋体" w:hAnsi="宋体"/>
          <w:color w:val="0000FF"/>
          <w:sz w:val="24"/>
          <w:lang w:eastAsia="zh-CN"/>
        </w:rPr>
        <w:t>芜湖仓物流运输</w:t>
      </w:r>
      <w:r>
        <w:rPr>
          <w:rFonts w:hint="eastAsia" w:ascii="宋体" w:hAnsi="宋体"/>
          <w:color w:val="0000FF"/>
          <w:sz w:val="24"/>
        </w:rPr>
        <w:t>采购招标项目</w:t>
      </w:r>
      <w:r>
        <w:rPr>
          <w:rFonts w:hint="eastAsia" w:ascii="宋体" w:hAnsi="宋体"/>
          <w:sz w:val="24"/>
          <w:szCs w:val="24"/>
        </w:rPr>
        <w:t>”的采购公告，我方愿意参加投标，并已清楚招标文件的要求及有关文件规定：</w:t>
      </w:r>
    </w:p>
    <w:p>
      <w:pPr>
        <w:pStyle w:val="21"/>
        <w:spacing w:line="336" w:lineRule="auto"/>
        <w:ind w:right="84" w:rightChars="40" w:firstLine="480" w:firstLineChars="200"/>
        <w:rPr>
          <w:rFonts w:hint="eastAsia" w:hAnsi="宋体"/>
          <w:sz w:val="24"/>
          <w:szCs w:val="24"/>
        </w:rPr>
      </w:pPr>
      <w:r>
        <w:rPr>
          <w:rFonts w:hint="eastAsia" w:ascii="宋体" w:hAnsi="宋体"/>
          <w:sz w:val="24"/>
          <w:szCs w:val="24"/>
        </w:rPr>
        <w:t>我方具备《中华人民共和国政府采购法》第二十二条所规定的条件</w:t>
      </w:r>
      <w:r>
        <w:rPr>
          <w:rFonts w:hint="eastAsia" w:hAnsi="宋体"/>
          <w:sz w:val="24"/>
          <w:szCs w:val="24"/>
        </w:rPr>
        <w:t>。</w:t>
      </w:r>
    </w:p>
    <w:p>
      <w:pPr>
        <w:pStyle w:val="21"/>
        <w:spacing w:line="336" w:lineRule="auto"/>
        <w:ind w:right="84" w:rightChars="40" w:firstLine="480" w:firstLineChars="200"/>
        <w:rPr>
          <w:rFonts w:hint="eastAsia" w:ascii="宋体" w:hAnsi="宋体"/>
          <w:sz w:val="24"/>
          <w:szCs w:val="24"/>
        </w:rPr>
      </w:pPr>
      <w:r>
        <w:rPr>
          <w:rFonts w:hint="eastAsia" w:hAnsi="宋体"/>
          <w:sz w:val="24"/>
          <w:szCs w:val="24"/>
        </w:rPr>
        <w:t>（一）</w:t>
      </w:r>
      <w:r>
        <w:rPr>
          <w:rFonts w:ascii="宋体" w:hAnsi="宋体"/>
          <w:sz w:val="24"/>
          <w:szCs w:val="24"/>
        </w:rPr>
        <w:t>具有独立承担民事责任的能力</w:t>
      </w:r>
      <w:r>
        <w:rPr>
          <w:rFonts w:hint="eastAsia" w:ascii="宋体" w:hAnsi="宋体"/>
          <w:sz w:val="24"/>
          <w:szCs w:val="24"/>
        </w:rPr>
        <w:t>，提供以下</w:t>
      </w:r>
      <w:r>
        <w:rPr>
          <w:rFonts w:ascii="宋体" w:hAnsi="宋体"/>
          <w:sz w:val="24"/>
          <w:szCs w:val="24"/>
        </w:rPr>
        <w:t>相关证照</w:t>
      </w:r>
      <w:r>
        <w:rPr>
          <w:rFonts w:hint="eastAsia" w:ascii="宋体" w:hAnsi="宋体"/>
          <w:sz w:val="24"/>
          <w:szCs w:val="24"/>
        </w:rPr>
        <w:t>的</w:t>
      </w:r>
      <w:r>
        <w:rPr>
          <w:rFonts w:ascii="宋体" w:hAnsi="宋体"/>
          <w:sz w:val="24"/>
          <w:szCs w:val="24"/>
        </w:rPr>
        <w:t>扫描件</w:t>
      </w:r>
      <w:r>
        <w:rPr>
          <w:rFonts w:hint="eastAsia" w:ascii="宋体" w:hAnsi="宋体"/>
          <w:sz w:val="24"/>
          <w:szCs w:val="24"/>
        </w:rPr>
        <w:t>（见附件）之一：1.企业法人提供</w:t>
      </w:r>
      <w:r>
        <w:rPr>
          <w:rFonts w:ascii="宋体" w:hAnsi="宋体"/>
          <w:sz w:val="24"/>
          <w:szCs w:val="24"/>
        </w:rPr>
        <w:t>企业法人营业执照</w:t>
      </w:r>
      <w:r>
        <w:rPr>
          <w:rFonts w:hint="eastAsia" w:ascii="宋体" w:hAnsi="宋体"/>
          <w:sz w:val="24"/>
          <w:szCs w:val="24"/>
        </w:rPr>
        <w:t>；2.事业法人提供</w:t>
      </w:r>
      <w:r>
        <w:rPr>
          <w:rFonts w:ascii="宋体" w:hAnsi="宋体"/>
          <w:sz w:val="24"/>
          <w:szCs w:val="24"/>
        </w:rPr>
        <w:t>事业法人登记证</w:t>
      </w:r>
      <w:r>
        <w:rPr>
          <w:rFonts w:hint="eastAsia" w:ascii="宋体" w:hAnsi="宋体"/>
          <w:sz w:val="24"/>
          <w:szCs w:val="24"/>
        </w:rPr>
        <w:t>；3.其他组织提供</w:t>
      </w:r>
      <w:r>
        <w:rPr>
          <w:rFonts w:ascii="宋体" w:hAnsi="宋体"/>
          <w:sz w:val="24"/>
          <w:szCs w:val="24"/>
        </w:rPr>
        <w:t>其他组织的营业执照</w:t>
      </w:r>
      <w:r>
        <w:rPr>
          <w:rFonts w:hint="eastAsia" w:ascii="宋体" w:hAnsi="宋体"/>
          <w:sz w:val="24"/>
          <w:szCs w:val="24"/>
        </w:rPr>
        <w:t>或</w:t>
      </w:r>
      <w:r>
        <w:rPr>
          <w:rFonts w:ascii="宋体" w:hAnsi="宋体"/>
          <w:sz w:val="24"/>
          <w:szCs w:val="24"/>
        </w:rPr>
        <w:t>执业许可证</w:t>
      </w:r>
      <w:r>
        <w:rPr>
          <w:rFonts w:hint="eastAsia" w:ascii="宋体" w:hAnsi="宋体"/>
          <w:sz w:val="24"/>
          <w:szCs w:val="24"/>
        </w:rPr>
        <w:t>；4.自然人提供居民身份证</w:t>
      </w:r>
      <w:r>
        <w:rPr>
          <w:rFonts w:ascii="宋体" w:hAnsi="宋体"/>
          <w:sz w:val="24"/>
          <w:szCs w:val="24"/>
        </w:rPr>
        <w:t>等</w:t>
      </w:r>
      <w:r>
        <w:rPr>
          <w:rFonts w:hint="eastAsia" w:ascii="宋体" w:hAnsi="宋体"/>
          <w:sz w:val="24"/>
          <w:szCs w:val="24"/>
        </w:rPr>
        <w:t>；</w:t>
      </w:r>
    </w:p>
    <w:p>
      <w:pPr>
        <w:pStyle w:val="21"/>
        <w:spacing w:line="336" w:lineRule="auto"/>
        <w:ind w:right="84" w:rightChars="40" w:firstLine="480" w:firstLineChars="200"/>
        <w:rPr>
          <w:rFonts w:hint="eastAsia" w:ascii="宋体" w:hAnsi="宋体"/>
          <w:sz w:val="24"/>
          <w:szCs w:val="24"/>
        </w:rPr>
      </w:pPr>
      <w:r>
        <w:rPr>
          <w:rFonts w:hint="eastAsia" w:ascii="宋体" w:hAnsi="宋体"/>
          <w:sz w:val="24"/>
          <w:szCs w:val="24"/>
        </w:rPr>
        <w:t>（二）具有良好的商业信誉和健全的财务会计制度；</w:t>
      </w:r>
    </w:p>
    <w:p>
      <w:pPr>
        <w:pStyle w:val="21"/>
        <w:spacing w:line="336" w:lineRule="auto"/>
        <w:ind w:right="84" w:rightChars="40" w:firstLine="480" w:firstLineChars="200"/>
        <w:rPr>
          <w:rFonts w:hint="eastAsia" w:ascii="宋体" w:hAnsi="宋体"/>
          <w:sz w:val="24"/>
          <w:szCs w:val="24"/>
        </w:rPr>
      </w:pPr>
      <w:r>
        <w:rPr>
          <w:rFonts w:hint="eastAsia" w:ascii="宋体" w:hAnsi="宋体"/>
          <w:sz w:val="24"/>
          <w:szCs w:val="24"/>
        </w:rPr>
        <w:t>（三）具有履行合同所必需的设备和专业技术能力；</w:t>
      </w:r>
    </w:p>
    <w:p>
      <w:pPr>
        <w:pStyle w:val="21"/>
        <w:spacing w:line="336" w:lineRule="auto"/>
        <w:ind w:right="84" w:rightChars="40" w:firstLine="480" w:firstLineChars="200"/>
        <w:rPr>
          <w:rFonts w:hint="eastAsia" w:ascii="宋体" w:hAnsi="宋体"/>
          <w:sz w:val="24"/>
          <w:szCs w:val="24"/>
        </w:rPr>
      </w:pPr>
      <w:r>
        <w:rPr>
          <w:rFonts w:hint="eastAsia" w:ascii="宋体" w:hAnsi="宋体"/>
          <w:sz w:val="24"/>
          <w:szCs w:val="24"/>
        </w:rPr>
        <w:t>（四）有依法缴纳税收和社会保障资金的良好记录；</w:t>
      </w:r>
    </w:p>
    <w:p>
      <w:pPr>
        <w:pStyle w:val="21"/>
        <w:spacing w:line="336" w:lineRule="auto"/>
        <w:ind w:right="84" w:rightChars="40" w:firstLine="480" w:firstLineChars="200"/>
        <w:rPr>
          <w:rFonts w:hint="eastAsia" w:ascii="宋体" w:hAnsi="宋体"/>
          <w:sz w:val="24"/>
          <w:szCs w:val="24"/>
        </w:rPr>
      </w:pPr>
      <w:r>
        <w:rPr>
          <w:rFonts w:hint="eastAsia" w:ascii="宋体" w:hAnsi="宋体"/>
          <w:sz w:val="24"/>
          <w:szCs w:val="24"/>
        </w:rPr>
        <w:t>（五）参加政府采购活动前三年内，在经营活动中没有重大违法记录；</w:t>
      </w:r>
    </w:p>
    <w:p>
      <w:pPr>
        <w:pStyle w:val="21"/>
        <w:spacing w:line="336" w:lineRule="auto"/>
        <w:ind w:right="84" w:rightChars="40" w:firstLine="480" w:firstLineChars="200"/>
        <w:rPr>
          <w:rFonts w:hint="eastAsia" w:ascii="宋体" w:hAnsi="宋体"/>
          <w:sz w:val="24"/>
          <w:szCs w:val="24"/>
        </w:rPr>
      </w:pPr>
      <w:r>
        <w:rPr>
          <w:rFonts w:hint="eastAsia" w:ascii="宋体" w:hAnsi="宋体"/>
          <w:sz w:val="24"/>
          <w:szCs w:val="24"/>
        </w:rPr>
        <w:t>（六）法律、行政法规规定的其他条件。</w:t>
      </w:r>
    </w:p>
    <w:p>
      <w:pPr>
        <w:pStyle w:val="21"/>
        <w:spacing w:line="336" w:lineRule="auto"/>
        <w:ind w:right="84" w:rightChars="40" w:firstLine="480" w:firstLineChars="200"/>
        <w:rPr>
          <w:rFonts w:hint="eastAsia" w:ascii="宋体" w:hAnsi="宋体"/>
          <w:sz w:val="24"/>
          <w:szCs w:val="24"/>
        </w:rPr>
      </w:pPr>
      <w:r>
        <w:rPr>
          <w:rFonts w:hint="eastAsia" w:ascii="宋体" w:hAnsi="宋体"/>
          <w:sz w:val="24"/>
          <w:szCs w:val="24"/>
        </w:rPr>
        <w:t>本次招标采购活动中，如有违法、违规、弄虚作假行为，所造成的损失、不良后果及法律责任，一律由我方承担。</w:t>
      </w:r>
    </w:p>
    <w:p>
      <w:pPr>
        <w:pStyle w:val="21"/>
        <w:spacing w:line="336" w:lineRule="auto"/>
        <w:ind w:right="84" w:rightChars="40" w:firstLine="482" w:firstLineChars="200"/>
        <w:rPr>
          <w:rFonts w:hint="eastAsia" w:ascii="宋体" w:hAnsi="宋体"/>
          <w:b/>
          <w:sz w:val="24"/>
          <w:szCs w:val="24"/>
        </w:rPr>
      </w:pPr>
      <w:r>
        <w:rPr>
          <w:rFonts w:hint="eastAsia" w:ascii="宋体" w:hAnsi="宋体"/>
          <w:b/>
          <w:sz w:val="24"/>
          <w:szCs w:val="24"/>
        </w:rPr>
        <w:t>特此声明！</w:t>
      </w:r>
    </w:p>
    <w:p>
      <w:pPr>
        <w:pStyle w:val="21"/>
        <w:spacing w:line="336" w:lineRule="auto"/>
        <w:ind w:right="84" w:rightChars="40" w:firstLine="6720" w:firstLineChars="2800"/>
        <w:rPr>
          <w:rFonts w:hint="eastAsia" w:ascii="宋体" w:hAnsi="宋体"/>
          <w:sz w:val="24"/>
          <w:szCs w:val="24"/>
        </w:rPr>
      </w:pPr>
      <w:r>
        <w:rPr>
          <w:rFonts w:hint="eastAsia" w:ascii="宋体" w:hAnsi="宋体"/>
          <w:sz w:val="24"/>
          <w:szCs w:val="24"/>
        </w:rPr>
        <w:t>日期：20  年   月   日</w:t>
      </w:r>
    </w:p>
    <w:p>
      <w:pPr>
        <w:pStyle w:val="21"/>
        <w:spacing w:line="336" w:lineRule="auto"/>
        <w:ind w:right="84" w:rightChars="40"/>
        <w:rPr>
          <w:rFonts w:ascii="宋体" w:hAnsi="宋体"/>
          <w:sz w:val="24"/>
          <w:szCs w:val="24"/>
        </w:rPr>
      </w:pPr>
    </w:p>
    <w:p>
      <w:pPr>
        <w:pStyle w:val="21"/>
        <w:spacing w:line="336" w:lineRule="auto"/>
        <w:ind w:right="84" w:rightChars="40"/>
        <w:rPr>
          <w:rFonts w:hint="eastAsia" w:ascii="宋体" w:hAnsi="宋体"/>
          <w:sz w:val="24"/>
          <w:szCs w:val="24"/>
        </w:rPr>
      </w:pPr>
      <w:r>
        <w:rPr>
          <w:rFonts w:hint="eastAsia" w:ascii="宋体" w:hAnsi="宋体"/>
          <w:sz w:val="24"/>
          <w:szCs w:val="24"/>
        </w:rPr>
        <w:t>说明：1.本格式文件内容不得擅自删改。</w:t>
      </w:r>
    </w:p>
    <w:p>
      <w:pPr>
        <w:pStyle w:val="21"/>
        <w:spacing w:line="336" w:lineRule="auto"/>
        <w:ind w:right="84" w:rightChars="40" w:firstLine="720" w:firstLineChars="300"/>
        <w:rPr>
          <w:rFonts w:hint="eastAsia" w:hAnsi="宋体"/>
          <w:b/>
          <w:sz w:val="28"/>
          <w:szCs w:val="28"/>
        </w:rPr>
      </w:pPr>
      <w:r>
        <w:rPr>
          <w:rFonts w:hint="eastAsia" w:ascii="宋体" w:hAnsi="宋体" w:cs="Arial"/>
          <w:bCs/>
          <w:sz w:val="24"/>
          <w:szCs w:val="24"/>
        </w:rPr>
        <w:t>2.</w:t>
      </w:r>
      <w:r>
        <w:rPr>
          <w:rFonts w:hint="eastAsia"/>
          <w:sz w:val="24"/>
          <w:szCs w:val="24"/>
        </w:rPr>
        <w:t>分支机构</w:t>
      </w:r>
      <w:r>
        <w:rPr>
          <w:rFonts w:hint="eastAsia" w:ascii="宋体" w:hAnsi="宋体"/>
          <w:sz w:val="24"/>
          <w:szCs w:val="24"/>
        </w:rPr>
        <w:t>投标的，以上《投标人资格声明函》必须由分支机构和总公司（总所）同时加盖公章，附件由总公司（总所）提供。</w:t>
      </w:r>
    </w:p>
    <w:p>
      <w:pPr>
        <w:pStyle w:val="23"/>
        <w:pageBreakBefore/>
        <w:spacing w:line="480" w:lineRule="auto"/>
        <w:ind w:firstLine="562" w:firstLineChars="200"/>
        <w:jc w:val="center"/>
        <w:rPr>
          <w:rFonts w:hAnsi="宋体" w:cs="Arial"/>
          <w:bCs/>
          <w:sz w:val="28"/>
          <w:szCs w:val="28"/>
          <w:lang w:val="en-US" w:eastAsia="zh-CN"/>
        </w:rPr>
      </w:pPr>
      <w:r>
        <w:rPr>
          <w:rFonts w:hint="eastAsia" w:hAnsi="宋体"/>
          <w:b/>
          <w:sz w:val="28"/>
          <w:szCs w:val="28"/>
          <w:lang w:val="en-US" w:eastAsia="zh-CN"/>
        </w:rPr>
        <w:t>授权委托证明书</w:t>
      </w:r>
    </w:p>
    <w:p>
      <w:pPr>
        <w:pStyle w:val="25"/>
        <w:spacing w:line="480" w:lineRule="auto"/>
        <w:ind w:firstLine="424" w:firstLineChars="177"/>
        <w:rPr>
          <w:rFonts w:hAnsi="宋体"/>
          <w:bCs/>
          <w:sz w:val="24"/>
          <w:szCs w:val="24"/>
          <w:lang w:val="en-US" w:eastAsia="zh-CN"/>
        </w:rPr>
      </w:pPr>
      <w:r>
        <w:rPr>
          <w:rFonts w:hint="eastAsia" w:hAnsi="宋体"/>
          <w:bCs/>
          <w:sz w:val="24"/>
          <w:szCs w:val="24"/>
          <w:lang w:val="en-US" w:eastAsia="zh-CN"/>
        </w:rPr>
        <w:t>兹授权</w:t>
      </w:r>
      <w:r>
        <w:rPr>
          <w:rFonts w:hint="eastAsia" w:hAnsi="宋体"/>
          <w:bCs/>
          <w:sz w:val="24"/>
          <w:szCs w:val="24"/>
          <w:u w:val="single"/>
          <w:lang w:val="en-US" w:eastAsia="zh-CN"/>
        </w:rPr>
        <w:t xml:space="preserve">                  </w:t>
      </w:r>
      <w:r>
        <w:rPr>
          <w:rFonts w:hint="eastAsia" w:hAnsi="宋体"/>
          <w:bCs/>
          <w:sz w:val="24"/>
          <w:szCs w:val="24"/>
          <w:lang w:val="en-US" w:eastAsia="zh-CN"/>
        </w:rPr>
        <w:t>（委托代理人姓名）为我方委托代理人，其权限是：</w:t>
      </w:r>
      <w:r>
        <w:rPr>
          <w:rFonts w:hint="eastAsia" w:hAnsi="宋体"/>
          <w:sz w:val="24"/>
          <w:szCs w:val="24"/>
          <w:lang w:val="en-US" w:eastAsia="zh-CN"/>
        </w:rPr>
        <w:t>办理</w:t>
      </w:r>
      <w:r>
        <w:rPr>
          <w:rFonts w:hint="eastAsia" w:hAnsi="宋体"/>
          <w:sz w:val="24"/>
          <w:szCs w:val="24"/>
        </w:rPr>
        <w:t>广州电缆厂有限公司</w:t>
      </w:r>
      <w:r>
        <w:rPr>
          <w:rFonts w:hint="eastAsia" w:hAnsi="宋体"/>
          <w:sz w:val="24"/>
          <w:szCs w:val="24"/>
          <w:lang w:val="en-US" w:eastAsia="zh-CN"/>
        </w:rPr>
        <w:t>组织的“</w:t>
      </w:r>
      <w:r>
        <w:rPr>
          <w:rFonts w:hint="eastAsia" w:ascii="宋体" w:hAnsi="宋体"/>
          <w:color w:val="0000FF"/>
          <w:sz w:val="24"/>
        </w:rPr>
        <w:t>广州电缆厂有限公司202</w:t>
      </w:r>
      <w:r>
        <w:rPr>
          <w:rFonts w:hint="eastAsia" w:ascii="宋体" w:hAnsi="宋体"/>
          <w:color w:val="0000FF"/>
          <w:sz w:val="24"/>
          <w:lang w:val="en-US" w:eastAsia="zh-CN"/>
        </w:rPr>
        <w:t>2</w:t>
      </w:r>
      <w:r>
        <w:rPr>
          <w:rFonts w:hint="eastAsia" w:ascii="宋体" w:hAnsi="宋体"/>
          <w:color w:val="0000FF"/>
          <w:sz w:val="24"/>
        </w:rPr>
        <w:t>年度</w:t>
      </w:r>
      <w:r>
        <w:rPr>
          <w:rFonts w:hint="eastAsia" w:ascii="宋体" w:hAnsi="宋体"/>
          <w:color w:val="0000FF"/>
          <w:sz w:val="24"/>
          <w:lang w:eastAsia="zh-CN"/>
        </w:rPr>
        <w:t>芜湖仓物流运输</w:t>
      </w:r>
      <w:r>
        <w:rPr>
          <w:rFonts w:hint="eastAsia" w:ascii="宋体" w:hAnsi="宋体"/>
          <w:color w:val="0000FF"/>
          <w:sz w:val="24"/>
        </w:rPr>
        <w:t>采购招标项目</w:t>
      </w:r>
      <w:r>
        <w:rPr>
          <w:rFonts w:hint="eastAsia" w:hAnsi="宋体"/>
          <w:color w:val="0000FF"/>
          <w:sz w:val="24"/>
          <w:szCs w:val="24"/>
          <w:lang w:val="en-US" w:eastAsia="zh-CN"/>
        </w:rPr>
        <w:t>”</w:t>
      </w:r>
      <w:r>
        <w:rPr>
          <w:rFonts w:hint="eastAsia" w:hAnsi="宋体"/>
          <w:sz w:val="24"/>
          <w:szCs w:val="24"/>
          <w:lang w:val="en-US" w:eastAsia="zh-CN"/>
        </w:rPr>
        <w:t xml:space="preserve"> 的投标事宜。</w:t>
      </w:r>
      <w:r>
        <w:rPr>
          <w:rFonts w:hint="eastAsia" w:hAnsi="宋体"/>
          <w:sz w:val="24"/>
          <w:szCs w:val="24"/>
          <w:lang w:val="en-GB" w:eastAsia="zh-CN"/>
        </w:rPr>
        <w:t>本</w:t>
      </w:r>
      <w:r>
        <w:rPr>
          <w:rFonts w:hint="eastAsia" w:hAnsi="宋体"/>
          <w:sz w:val="24"/>
          <w:szCs w:val="24"/>
          <w:lang w:val="en-US" w:eastAsia="zh-CN"/>
        </w:rPr>
        <w:t>授权书</w:t>
      </w:r>
      <w:r>
        <w:rPr>
          <w:rFonts w:hint="eastAsia" w:hAnsi="宋体"/>
          <w:sz w:val="24"/>
          <w:szCs w:val="24"/>
          <w:lang w:val="en-GB" w:eastAsia="zh-CN"/>
        </w:rPr>
        <w:t>有效期与我方投标文件中标注的投标有效期相同，自签章之日起生效。</w:t>
      </w:r>
    </w:p>
    <w:p>
      <w:pPr>
        <w:pStyle w:val="25"/>
        <w:spacing w:line="480" w:lineRule="auto"/>
        <w:ind w:firstLine="480" w:firstLineChars="200"/>
        <w:rPr>
          <w:rFonts w:hAnsi="宋体"/>
          <w:sz w:val="24"/>
          <w:szCs w:val="24"/>
          <w:u w:val="single"/>
          <w:lang w:val="en-US" w:eastAsia="zh-CN"/>
        </w:rPr>
      </w:pPr>
      <w:r>
        <w:rPr>
          <w:rFonts w:hint="eastAsia" w:hAnsi="宋体"/>
          <w:sz w:val="24"/>
          <w:szCs w:val="24"/>
          <w:lang w:val="en-US" w:eastAsia="zh-CN"/>
        </w:rPr>
        <w:t>附：代理人性别：</w:t>
      </w:r>
      <w:r>
        <w:rPr>
          <w:rFonts w:hint="eastAsia" w:hAnsi="宋体"/>
          <w:sz w:val="24"/>
          <w:szCs w:val="24"/>
          <w:u w:val="single"/>
          <w:lang w:val="en-US" w:eastAsia="zh-CN"/>
        </w:rPr>
        <w:t xml:space="preserve">    </w:t>
      </w:r>
      <w:r>
        <w:rPr>
          <w:rFonts w:hint="eastAsia" w:hAnsi="宋体"/>
          <w:sz w:val="24"/>
          <w:szCs w:val="24"/>
          <w:lang w:val="en-US" w:eastAsia="zh-CN"/>
        </w:rPr>
        <w:t xml:space="preserve">   年龄：</w:t>
      </w:r>
      <w:r>
        <w:rPr>
          <w:rFonts w:hint="eastAsia" w:hAnsi="宋体"/>
          <w:sz w:val="24"/>
          <w:szCs w:val="24"/>
          <w:u w:val="single"/>
          <w:lang w:val="en-US" w:eastAsia="zh-CN"/>
        </w:rPr>
        <w:t xml:space="preserve">     </w:t>
      </w:r>
      <w:r>
        <w:rPr>
          <w:rFonts w:hint="eastAsia" w:hAnsi="宋体"/>
          <w:sz w:val="24"/>
          <w:szCs w:val="24"/>
          <w:lang w:val="en-US" w:eastAsia="zh-CN"/>
        </w:rPr>
        <w:t xml:space="preserve">   职务：</w:t>
      </w:r>
      <w:r>
        <w:rPr>
          <w:rFonts w:hint="eastAsia" w:hAnsi="宋体"/>
          <w:sz w:val="24"/>
          <w:szCs w:val="24"/>
          <w:u w:val="single"/>
          <w:lang w:val="en-US" w:eastAsia="zh-CN"/>
        </w:rPr>
        <w:t xml:space="preserve">               </w:t>
      </w:r>
    </w:p>
    <w:p>
      <w:pPr>
        <w:pStyle w:val="25"/>
        <w:spacing w:line="480" w:lineRule="auto"/>
        <w:ind w:firstLine="480" w:firstLineChars="200"/>
        <w:rPr>
          <w:rFonts w:hAnsi="宋体"/>
          <w:sz w:val="24"/>
          <w:szCs w:val="24"/>
          <w:u w:val="single"/>
          <w:lang w:val="en-US" w:eastAsia="zh-CN"/>
        </w:rPr>
      </w:pPr>
      <w:r>
        <w:rPr>
          <w:rFonts w:hint="eastAsia" w:hAnsi="宋体"/>
          <w:sz w:val="24"/>
          <w:szCs w:val="24"/>
          <w:lang w:val="en-US" w:eastAsia="zh-CN"/>
        </w:rPr>
        <w:t>　　身份证号码：</w:t>
      </w:r>
      <w:r>
        <w:rPr>
          <w:rFonts w:hint="eastAsia" w:hAnsi="宋体"/>
          <w:sz w:val="24"/>
          <w:szCs w:val="24"/>
          <w:u w:val="single"/>
          <w:lang w:val="en-US" w:eastAsia="zh-CN"/>
        </w:rPr>
        <w:t xml:space="preserve">                     </w:t>
      </w:r>
    </w:p>
    <w:p>
      <w:pPr>
        <w:pStyle w:val="25"/>
        <w:spacing w:line="480" w:lineRule="auto"/>
        <w:ind w:firstLine="480" w:firstLineChars="200"/>
        <w:rPr>
          <w:rFonts w:hAnsi="宋体"/>
          <w:sz w:val="24"/>
          <w:szCs w:val="24"/>
          <w:lang w:val="en-US" w:eastAsia="zh-CN"/>
        </w:rPr>
      </w:pPr>
      <w:r>
        <w:rPr>
          <w:rFonts w:hint="eastAsia" w:hAnsi="宋体"/>
          <w:sz w:val="24"/>
          <w:szCs w:val="24"/>
          <w:lang w:val="en-US" w:eastAsia="zh-CN"/>
        </w:rPr>
        <w:t>　　</w:t>
      </w:r>
    </w:p>
    <w:p>
      <w:pPr>
        <w:pStyle w:val="23"/>
        <w:spacing w:line="480" w:lineRule="auto"/>
        <w:rPr>
          <w:rFonts w:hAnsi="宋体"/>
          <w:sz w:val="24"/>
          <w:szCs w:val="24"/>
          <w:lang w:val="en-US" w:eastAsia="zh-CN"/>
        </w:rPr>
      </w:pPr>
    </w:p>
    <w:p>
      <w:pPr>
        <w:pStyle w:val="23"/>
        <w:spacing w:line="480" w:lineRule="auto"/>
        <w:rPr>
          <w:rFonts w:hAnsi="宋体"/>
          <w:sz w:val="24"/>
          <w:szCs w:val="24"/>
          <w:lang w:val="en-US" w:eastAsia="zh-CN"/>
        </w:rPr>
      </w:pPr>
    </w:p>
    <w:p>
      <w:pPr>
        <w:pStyle w:val="23"/>
        <w:wordWrap w:val="0"/>
        <w:spacing w:line="480" w:lineRule="auto"/>
        <w:ind w:left="3400" w:leftChars="1619"/>
        <w:jc w:val="right"/>
        <w:rPr>
          <w:rFonts w:hAnsi="宋体"/>
          <w:sz w:val="24"/>
          <w:szCs w:val="24"/>
          <w:lang w:val="en-US" w:eastAsia="zh-CN"/>
        </w:rPr>
      </w:pPr>
      <w:r>
        <w:rPr>
          <w:rFonts w:hint="eastAsia" w:hAnsi="宋体" w:cs="Arial"/>
          <w:sz w:val="24"/>
          <w:szCs w:val="24"/>
          <w:lang w:val="en-US" w:eastAsia="zh-CN"/>
        </w:rPr>
        <w:t>日期： 20  年   月   日</w:t>
      </w:r>
    </w:p>
    <w:p>
      <w:pPr>
        <w:pStyle w:val="23"/>
        <w:rPr>
          <w:rFonts w:hint="eastAsia" w:hAnsi="宋体"/>
          <w:sz w:val="24"/>
          <w:szCs w:val="24"/>
          <w:lang w:val="en-US" w:eastAsia="zh-CN"/>
        </w:rPr>
      </w:pPr>
    </w:p>
    <w:p>
      <w:pPr>
        <w:pStyle w:val="23"/>
        <w:rPr>
          <w:rFonts w:hAnsi="宋体"/>
          <w:sz w:val="24"/>
          <w:szCs w:val="24"/>
          <w:lang w:val="en-US" w:eastAsia="zh-CN"/>
        </w:rPr>
      </w:pPr>
    </w:p>
    <w:p>
      <w:pPr>
        <w:pStyle w:val="23"/>
        <w:spacing w:line="460" w:lineRule="exact"/>
        <w:ind w:left="720" w:hanging="720" w:hangingChars="300"/>
        <w:jc w:val="both"/>
        <w:rPr>
          <w:rFonts w:hAnsi="宋体" w:cs="仿宋_GB2312"/>
          <w:color w:val="000000"/>
          <w:sz w:val="24"/>
          <w:szCs w:val="24"/>
          <w:lang w:val="zh-CN" w:eastAsia="zh-CN"/>
        </w:rPr>
      </w:pPr>
      <w:r>
        <w:rPr>
          <w:rFonts w:hint="eastAsia" w:hAnsi="宋体" w:cs="仿宋_GB2312"/>
          <w:color w:val="000000"/>
          <w:sz w:val="24"/>
          <w:szCs w:val="24"/>
          <w:lang w:val="zh-CN" w:eastAsia="zh-CN"/>
        </w:rPr>
        <w:t>说明：</w:t>
      </w:r>
      <w:r>
        <w:rPr>
          <w:rFonts w:hAnsi="宋体" w:cs="仿宋_GB2312"/>
          <w:color w:val="000000"/>
          <w:sz w:val="24"/>
          <w:szCs w:val="24"/>
          <w:lang w:val="zh-CN" w:eastAsia="zh-CN"/>
        </w:rPr>
        <w:t>法定代表人亲自</w:t>
      </w:r>
      <w:r>
        <w:rPr>
          <w:rFonts w:hint="eastAsia" w:hAnsi="宋体" w:cs="仿宋_GB2312"/>
          <w:color w:val="000000"/>
          <w:sz w:val="24"/>
          <w:szCs w:val="24"/>
          <w:lang w:val="zh-CN" w:eastAsia="zh-CN"/>
        </w:rPr>
        <w:t>办理投标事宜的</w:t>
      </w:r>
      <w:r>
        <w:rPr>
          <w:rFonts w:hAnsi="宋体" w:cs="仿宋_GB2312"/>
          <w:color w:val="000000"/>
          <w:sz w:val="24"/>
          <w:szCs w:val="24"/>
          <w:lang w:val="zh-CN" w:eastAsia="zh-CN"/>
        </w:rPr>
        <w:t>，无需提交本授权委托</w:t>
      </w:r>
      <w:r>
        <w:rPr>
          <w:rFonts w:hint="eastAsia" w:hAnsi="宋体" w:cs="仿宋_GB2312"/>
          <w:color w:val="000000"/>
          <w:sz w:val="24"/>
          <w:szCs w:val="24"/>
          <w:lang w:val="zh-CN" w:eastAsia="zh-CN"/>
        </w:rPr>
        <w:t>证明书</w:t>
      </w:r>
      <w:r>
        <w:rPr>
          <w:rFonts w:hAnsi="宋体" w:cs="仿宋_GB2312"/>
          <w:color w:val="000000"/>
          <w:sz w:val="24"/>
          <w:szCs w:val="24"/>
          <w:lang w:val="zh-CN" w:eastAsia="zh-CN"/>
        </w:rPr>
        <w:t>。</w:t>
      </w:r>
    </w:p>
    <w:p>
      <w:pPr>
        <w:pStyle w:val="27"/>
        <w:spacing w:line="360" w:lineRule="auto"/>
        <w:ind w:left="720" w:hanging="720"/>
        <w:jc w:val="center"/>
        <w:rPr>
          <w:rFonts w:hint="eastAsia" w:ascii="宋体" w:hAnsi="宋体" w:eastAsia="宋体" w:cs="宋体"/>
          <w:b/>
          <w:sz w:val="28"/>
        </w:rPr>
      </w:pPr>
    </w:p>
    <w:p>
      <w:pPr>
        <w:pStyle w:val="27"/>
        <w:spacing w:line="360" w:lineRule="auto"/>
        <w:ind w:left="720" w:hanging="720"/>
        <w:jc w:val="center"/>
        <w:rPr>
          <w:rFonts w:hint="eastAsia" w:ascii="宋体" w:hAnsi="宋体" w:eastAsia="宋体" w:cs="宋体"/>
          <w:b/>
          <w:sz w:val="28"/>
        </w:rPr>
      </w:pPr>
    </w:p>
    <w:bookmarkEnd w:id="349"/>
    <w:p>
      <w:pPr>
        <w:pStyle w:val="35"/>
        <w:tabs>
          <w:tab w:val="left" w:pos="4860"/>
        </w:tabs>
        <w:spacing w:line="360" w:lineRule="auto"/>
        <w:ind w:right="1560"/>
        <w:jc w:val="both"/>
      </w:pPr>
    </w:p>
    <w:sectPr>
      <w:headerReference r:id="rId3" w:type="default"/>
      <w:footerReference r:id="rId4" w:type="default"/>
      <w:footerReference r:id="rId5" w:type="even"/>
      <w:pgSz w:w="11906" w:h="16838"/>
      <w:pgMar w:top="1418" w:right="1247" w:bottom="1418" w:left="1247"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jc w:val="center"/>
    </w:pPr>
    <w:r>
      <w:rPr>
        <w:rFonts w:hint="eastAsia"/>
        <w:highlight w:val="white"/>
      </w:rPr>
      <w:t>第</w:t>
    </w:r>
    <w:r>
      <w:rPr>
        <w:highlight w:val="white"/>
      </w:rPr>
      <w:t xml:space="preserve"> </w:t>
    </w:r>
    <w:r>
      <w:fldChar w:fldCharType="begin"/>
    </w:r>
    <w:r>
      <w:rPr>
        <w:highlight w:val="white"/>
      </w:rPr>
      <w:instrText xml:space="preserve"> PAGE </w:instrText>
    </w:r>
    <w:r>
      <w:fldChar w:fldCharType="separate"/>
    </w:r>
    <w:r>
      <w:rPr>
        <w:highlight w:val="white"/>
      </w:rPr>
      <w:t>10</w:t>
    </w:r>
    <w:r>
      <w:fldChar w:fldCharType="end"/>
    </w:r>
    <w:r>
      <w:rPr>
        <w:rFonts w:hint="eastAsia"/>
        <w:highlight w:val="white"/>
      </w:rPr>
      <w:t>页</w:t>
    </w:r>
    <w:r>
      <w:rPr>
        <w:highlight w:val="white"/>
      </w:rPr>
      <w:t xml:space="preserve"> </w:t>
    </w:r>
    <w:r>
      <w:rPr>
        <w:rFonts w:hint="eastAsia"/>
        <w:highlight w:val="white"/>
      </w:rPr>
      <w:t>共</w:t>
    </w:r>
    <w:r>
      <w:rPr>
        <w:highlight w:val="white"/>
      </w:rPr>
      <w:t xml:space="preserve"> </w:t>
    </w:r>
    <w:r>
      <w:fldChar w:fldCharType="begin"/>
    </w:r>
    <w:r>
      <w:rPr>
        <w:highlight w:val="white"/>
      </w:rPr>
      <w:instrText xml:space="preserve"> NUMPAGES </w:instrText>
    </w:r>
    <w:r>
      <w:fldChar w:fldCharType="separate"/>
    </w:r>
    <w:r>
      <w:rPr>
        <w:highlight w:val="white"/>
      </w:rPr>
      <w:t>39</w:t>
    </w:r>
    <w:r>
      <w:fldChar w:fldCharType="end"/>
    </w:r>
    <w:r>
      <w:rPr>
        <w:rFonts w:hint="eastAsia"/>
        <w:highlight w:val="white"/>
      </w:rPr>
      <w:t>页</w:t>
    </w:r>
  </w:p>
  <w:p>
    <w:pPr>
      <w:pStyle w:val="10"/>
      <w:jc w:val="right"/>
    </w:pPr>
    <w:r>
      <w:rPr>
        <w:rFonts w:hint="eastAsia"/>
        <w:szCs w:val="21"/>
        <w:highlight w:val="white"/>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3"/>
      </w:rPr>
    </w:pPr>
    <w:r>
      <w:fldChar w:fldCharType="begin"/>
    </w:r>
    <w:r>
      <w:rPr>
        <w:rStyle w:val="13"/>
        <w:highlight w:val="white"/>
      </w:rPr>
      <w:instrText xml:space="preserve">PAGE  </w:instrText>
    </w:r>
    <w:r>
      <w:fldChar w:fldCharType="separate"/>
    </w:r>
    <w:r>
      <w:rPr>
        <w:rStyle w:val="13"/>
        <w:highlight w:val="white"/>
      </w:rPr>
      <w:t>34</w: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left"/>
      <w:rPr>
        <w:rFonts w:hint="default" w:eastAsia="宋体"/>
        <w:highlight w:val="white"/>
        <w:lang w:val="en-US" w:eastAsia="zh-CN"/>
      </w:rPr>
    </w:pPr>
    <w:r>
      <w:rPr>
        <w:rFonts w:hint="eastAsia"/>
        <w:highlight w:val="white"/>
      </w:rPr>
      <w:t>广州电缆厂有限公司招标文件                                             项目编号</w:t>
    </w:r>
    <w:r>
      <w:rPr>
        <w:rFonts w:hint="eastAsia"/>
      </w:rPr>
      <w:t>：</w:t>
    </w:r>
    <w:r>
      <w:t xml:space="preserve"> </w:t>
    </w:r>
    <w:r>
      <w:rPr>
        <w:rFonts w:hint="eastAsia"/>
        <w:highlight w:val="white"/>
      </w:rPr>
      <w:t>GL</w:t>
    </w:r>
    <w:r>
      <w:rPr>
        <w:rFonts w:hint="eastAsia"/>
        <w:highlight w:val="white"/>
        <w:lang w:val="en-US" w:eastAsia="zh-CN"/>
      </w:rPr>
      <w:t>WL</w:t>
    </w:r>
    <w:r>
      <w:rPr>
        <w:rFonts w:hint="eastAsia"/>
        <w:highlight w:val="white"/>
      </w:rPr>
      <w:t>20210</w:t>
    </w:r>
    <w:r>
      <w:rPr>
        <w:rFonts w:hint="eastAsia"/>
        <w:highlight w:val="white"/>
        <w:lang w:val="en-US" w:eastAsia="zh-CN"/>
      </w:rPr>
      <w:t>003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F7690"/>
    <w:multiLevelType w:val="multilevel"/>
    <w:tmpl w:val="03AF7690"/>
    <w:lvl w:ilvl="0" w:tentative="0">
      <w:start w:val="1"/>
      <w:numFmt w:val="decimal"/>
      <w:lvlText w:val="%1."/>
      <w:lvlJc w:val="left"/>
      <w:pPr>
        <w:ind w:left="1560" w:hanging="1140"/>
      </w:pPr>
      <w:rPr>
        <w:color w:val="333333"/>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7503984"/>
    <w:multiLevelType w:val="multilevel"/>
    <w:tmpl w:val="07503984"/>
    <w:lvl w:ilvl="0" w:tentative="0">
      <w:start w:val="1"/>
      <w:numFmt w:val="decimal"/>
      <w:lvlText w:val="%1)"/>
      <w:lvlJc w:val="left"/>
      <w:pPr>
        <w:ind w:left="845" w:hanging="420"/>
      </w:pPr>
      <w:rPr>
        <w:rFonts w:hint="eastAsia"/>
      </w:rPr>
    </w:lvl>
    <w:lvl w:ilvl="1" w:tentative="0">
      <w:start w:val="1"/>
      <w:numFmt w:val="decimal"/>
      <w:lvlText w:val="(%2)"/>
      <w:lvlJc w:val="left"/>
      <w:pPr>
        <w:ind w:left="1265" w:hanging="420"/>
      </w:pPr>
      <w:rPr>
        <w:rFonts w:hint="eastAsia"/>
      </w:rPr>
    </w:lvl>
    <w:lvl w:ilvl="2" w:tentative="0">
      <w:start w:val="1"/>
      <w:numFmt w:val="lowerRoman"/>
      <w:lvlText w:val="%3."/>
      <w:lvlJc w:val="right"/>
      <w:pPr>
        <w:ind w:left="1685" w:hanging="420"/>
      </w:pPr>
      <w:rPr>
        <w:rFonts w:hint="eastAsia"/>
      </w:rPr>
    </w:lvl>
    <w:lvl w:ilvl="3" w:tentative="0">
      <w:start w:val="1"/>
      <w:numFmt w:val="decimal"/>
      <w:lvlText w:val="%4."/>
      <w:lvlJc w:val="left"/>
      <w:pPr>
        <w:ind w:left="2105" w:hanging="420"/>
      </w:pPr>
      <w:rPr>
        <w:rFonts w:hint="eastAsia"/>
      </w:rPr>
    </w:lvl>
    <w:lvl w:ilvl="4" w:tentative="0">
      <w:start w:val="1"/>
      <w:numFmt w:val="lowerLetter"/>
      <w:lvlText w:val="%5)"/>
      <w:lvlJc w:val="left"/>
      <w:pPr>
        <w:ind w:left="2525" w:hanging="420"/>
      </w:pPr>
      <w:rPr>
        <w:rFonts w:hint="eastAsia"/>
      </w:rPr>
    </w:lvl>
    <w:lvl w:ilvl="5" w:tentative="0">
      <w:start w:val="1"/>
      <w:numFmt w:val="lowerRoman"/>
      <w:lvlText w:val="%6."/>
      <w:lvlJc w:val="right"/>
      <w:pPr>
        <w:ind w:left="2945" w:hanging="420"/>
      </w:pPr>
      <w:rPr>
        <w:rFonts w:hint="eastAsia"/>
      </w:rPr>
    </w:lvl>
    <w:lvl w:ilvl="6" w:tentative="0">
      <w:start w:val="1"/>
      <w:numFmt w:val="decimal"/>
      <w:lvlText w:val="%7."/>
      <w:lvlJc w:val="left"/>
      <w:pPr>
        <w:ind w:left="3365" w:hanging="420"/>
      </w:pPr>
      <w:rPr>
        <w:rFonts w:hint="eastAsia"/>
      </w:rPr>
    </w:lvl>
    <w:lvl w:ilvl="7" w:tentative="0">
      <w:start w:val="1"/>
      <w:numFmt w:val="lowerLetter"/>
      <w:lvlText w:val="%8)"/>
      <w:lvlJc w:val="left"/>
      <w:pPr>
        <w:ind w:left="3785" w:hanging="420"/>
      </w:pPr>
      <w:rPr>
        <w:rFonts w:hint="eastAsia"/>
      </w:rPr>
    </w:lvl>
    <w:lvl w:ilvl="8" w:tentative="0">
      <w:start w:val="1"/>
      <w:numFmt w:val="lowerRoman"/>
      <w:lvlText w:val="%9."/>
      <w:lvlJc w:val="right"/>
      <w:pPr>
        <w:ind w:left="4205" w:hanging="420"/>
      </w:pPr>
      <w:rPr>
        <w:rFonts w:hint="eastAsia"/>
      </w:rPr>
    </w:lvl>
  </w:abstractNum>
  <w:abstractNum w:abstractNumId="2">
    <w:nsid w:val="08240B2E"/>
    <w:multiLevelType w:val="multilevel"/>
    <w:tmpl w:val="08240B2E"/>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DE9669A"/>
    <w:multiLevelType w:val="multilevel"/>
    <w:tmpl w:val="0DE9669A"/>
    <w:lvl w:ilvl="0" w:tentative="0">
      <w:start w:val="1"/>
      <w:numFmt w:val="chineseCountingThousand"/>
      <w:lvlText w:val="%1、"/>
      <w:lvlJc w:val="left"/>
      <w:pPr>
        <w:ind w:left="425" w:hanging="425"/>
      </w:pPr>
      <w:rPr>
        <w:rFonts w:hint="eastAsia"/>
        <w:sz w:val="24"/>
        <w:szCs w:val="24"/>
        <w:lang w:val="en-US"/>
      </w:rPr>
    </w:lvl>
    <w:lvl w:ilvl="1" w:tentative="0">
      <w:start w:val="1"/>
      <w:numFmt w:val="chineseCountingThousand"/>
      <w:lvlText w:val="（%2）"/>
      <w:lvlJc w:val="left"/>
      <w:pPr>
        <w:ind w:left="1129" w:hanging="567"/>
      </w:pPr>
      <w:rPr>
        <w:rFonts w:hint="eastAsia" w:ascii="宋体" w:hAnsi="宋体" w:eastAsia="宋体"/>
        <w:color w:val="auto"/>
        <w:sz w:val="24"/>
        <w:szCs w:val="24"/>
      </w:rPr>
    </w:lvl>
    <w:lvl w:ilvl="2" w:tentative="0">
      <w:start w:val="1"/>
      <w:numFmt w:val="decimal"/>
      <w:lvlText w:val="%3."/>
      <w:lvlJc w:val="left"/>
      <w:pPr>
        <w:ind w:left="1418" w:hanging="567"/>
      </w:pPr>
      <w:rPr>
        <w:rFonts w:hint="eastAsia" w:ascii="仿宋_GB2312" w:eastAsia="仿宋_GB2312"/>
        <w:color w:val="auto"/>
        <w:sz w:val="24"/>
        <w:szCs w:val="24"/>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13A70F57"/>
    <w:multiLevelType w:val="multilevel"/>
    <w:tmpl w:val="13A70F57"/>
    <w:lvl w:ilvl="0" w:tentative="0">
      <w:start w:val="1"/>
      <w:numFmt w:val="chineseCountingThousand"/>
      <w:lvlText w:val="%1、"/>
      <w:lvlJc w:val="left"/>
      <w:pPr>
        <w:ind w:left="851" w:hanging="425"/>
      </w:pPr>
      <w:rPr>
        <w:rFonts w:hint="eastAsia"/>
        <w:sz w:val="24"/>
        <w:szCs w:val="24"/>
        <w:lang w:val="en-US"/>
      </w:rPr>
    </w:lvl>
    <w:lvl w:ilvl="1" w:tentative="0">
      <w:start w:val="1"/>
      <w:numFmt w:val="chineseCountingThousand"/>
      <w:lvlText w:val="（%2）"/>
      <w:lvlJc w:val="left"/>
      <w:pPr>
        <w:ind w:left="992" w:hanging="567"/>
      </w:pPr>
      <w:rPr>
        <w:rFonts w:hint="eastAsia" w:ascii="仿宋_GB2312" w:eastAsia="仿宋_GB2312"/>
        <w:sz w:val="24"/>
        <w:szCs w:val="24"/>
      </w:rPr>
    </w:lvl>
    <w:lvl w:ilvl="2" w:tentative="0">
      <w:start w:val="1"/>
      <w:numFmt w:val="decimal"/>
      <w:lvlText w:val="%3."/>
      <w:lvlJc w:val="left"/>
      <w:pPr>
        <w:ind w:left="1418" w:hanging="567"/>
      </w:pPr>
      <w:rPr>
        <w:rFonts w:hint="eastAsia" w:ascii="仿宋_GB2312" w:eastAsia="仿宋_GB2312"/>
        <w:color w:val="auto"/>
        <w:sz w:val="24"/>
        <w:szCs w:val="24"/>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16DD4535"/>
    <w:multiLevelType w:val="multilevel"/>
    <w:tmpl w:val="16DD4535"/>
    <w:lvl w:ilvl="0" w:tentative="0">
      <w:start w:val="1"/>
      <w:numFmt w:val="chineseCountingThousand"/>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color w:val="000000"/>
        <w:sz w:val="24"/>
        <w:szCs w:val="24"/>
      </w:rPr>
    </w:lvl>
    <w:lvl w:ilvl="2" w:tentative="0">
      <w:start w:val="1"/>
      <w:numFmt w:val="decimal"/>
      <w:lvlText w:val="%3."/>
      <w:lvlJc w:val="left"/>
      <w:pPr>
        <w:ind w:left="1418" w:hanging="567"/>
      </w:pPr>
      <w:rPr>
        <w:rFonts w:hint="eastAsia"/>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17EB3AA9"/>
    <w:multiLevelType w:val="multilevel"/>
    <w:tmpl w:val="17EB3AA9"/>
    <w:lvl w:ilvl="0" w:tentative="0">
      <w:start w:val="1"/>
      <w:numFmt w:val="decimal"/>
      <w:lvlText w:val="%1."/>
      <w:lvlJc w:val="left"/>
      <w:pPr>
        <w:ind w:left="1560" w:hanging="1140"/>
      </w:pPr>
      <w:rPr>
        <w:color w:val="333333"/>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1DEB7D35"/>
    <w:multiLevelType w:val="multilevel"/>
    <w:tmpl w:val="1DEB7D35"/>
    <w:lvl w:ilvl="0" w:tentative="0">
      <w:start w:val="1"/>
      <w:numFmt w:val="chineseCountingThousand"/>
      <w:lvlText w:val="%1、"/>
      <w:lvlJc w:val="left"/>
      <w:pPr>
        <w:ind w:left="425" w:hanging="425"/>
      </w:pPr>
      <w:rPr>
        <w:rFonts w:hint="eastAsia"/>
        <w:sz w:val="24"/>
        <w:szCs w:val="24"/>
      </w:rPr>
    </w:lvl>
    <w:lvl w:ilvl="1" w:tentative="0">
      <w:start w:val="3"/>
      <w:numFmt w:val="chineseCountingThousand"/>
      <w:lvlText w:val="（%2）"/>
      <w:lvlJc w:val="left"/>
      <w:pPr>
        <w:ind w:left="992" w:hanging="567"/>
      </w:pPr>
      <w:rPr>
        <w:rFonts w:hint="eastAsia" w:ascii="宋体" w:hAnsi="宋体" w:eastAsia="宋体"/>
        <w:sz w:val="24"/>
        <w:szCs w:val="24"/>
      </w:rPr>
    </w:lvl>
    <w:lvl w:ilvl="2" w:tentative="0">
      <w:start w:val="1"/>
      <w:numFmt w:val="decimal"/>
      <w:lvlText w:val="%3."/>
      <w:lvlJc w:val="left"/>
      <w:pPr>
        <w:ind w:left="1418" w:hanging="567"/>
      </w:pPr>
      <w:rPr>
        <w:rFonts w:hint="eastAsia"/>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239C84BD"/>
    <w:multiLevelType w:val="singleLevel"/>
    <w:tmpl w:val="239C84BD"/>
    <w:lvl w:ilvl="0" w:tentative="0">
      <w:start w:val="1"/>
      <w:numFmt w:val="decimal"/>
      <w:suff w:val="nothing"/>
      <w:lvlText w:val="%1．"/>
      <w:lvlJc w:val="left"/>
    </w:lvl>
  </w:abstractNum>
  <w:abstractNum w:abstractNumId="9">
    <w:nsid w:val="2E246997"/>
    <w:multiLevelType w:val="multilevel"/>
    <w:tmpl w:val="2E246997"/>
    <w:lvl w:ilvl="0" w:tentative="0">
      <w:start w:val="1"/>
      <w:numFmt w:val="chineseCountingThousand"/>
      <w:lvlText w:val="%1、"/>
      <w:lvlJc w:val="left"/>
      <w:pPr>
        <w:ind w:left="425" w:hanging="425"/>
      </w:pPr>
      <w:rPr>
        <w:rFonts w:hint="eastAsia"/>
        <w:sz w:val="24"/>
        <w:szCs w:val="24"/>
        <w:lang w:val="en-US"/>
      </w:rPr>
    </w:lvl>
    <w:lvl w:ilvl="1" w:tentative="0">
      <w:start w:val="1"/>
      <w:numFmt w:val="chineseCountingThousand"/>
      <w:lvlText w:val="（%2）"/>
      <w:lvlJc w:val="left"/>
      <w:pPr>
        <w:ind w:left="992" w:hanging="567"/>
      </w:pPr>
      <w:rPr>
        <w:rFonts w:hint="eastAsia" w:ascii="仿宋_GB2312" w:eastAsia="仿宋_GB2312"/>
        <w:sz w:val="24"/>
        <w:szCs w:val="24"/>
      </w:rPr>
    </w:lvl>
    <w:lvl w:ilvl="2" w:tentative="0">
      <w:start w:val="1"/>
      <w:numFmt w:val="decimal"/>
      <w:lvlText w:val="%3."/>
      <w:lvlJc w:val="left"/>
      <w:pPr>
        <w:ind w:left="1418" w:hanging="567"/>
      </w:pPr>
      <w:rPr>
        <w:rFonts w:hint="eastAsia" w:ascii="宋体" w:hAnsi="宋体" w:eastAsia="宋体"/>
        <w:color w:val="auto"/>
        <w:sz w:val="24"/>
        <w:szCs w:val="24"/>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
    <w:nsid w:val="2E7F0B59"/>
    <w:multiLevelType w:val="multilevel"/>
    <w:tmpl w:val="2E7F0B59"/>
    <w:lvl w:ilvl="0" w:tentative="0">
      <w:start w:val="1"/>
      <w:numFmt w:val="japaneseCounting"/>
      <w:lvlText w:val="（%1）"/>
      <w:lvlJc w:val="left"/>
      <w:pPr>
        <w:ind w:left="765" w:hanging="76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2411EB3"/>
    <w:multiLevelType w:val="multilevel"/>
    <w:tmpl w:val="32411EB3"/>
    <w:lvl w:ilvl="0" w:tentative="0">
      <w:start w:val="1"/>
      <w:numFmt w:val="japaneseCounting"/>
      <w:lvlText w:val="%1、"/>
      <w:lvlJc w:val="left"/>
      <w:pPr>
        <w:ind w:left="425" w:hanging="425"/>
      </w:pPr>
      <w:rPr>
        <w:rFonts w:ascii="宋体" w:hAnsi="宋体" w:eastAsia="宋体" w:cs="宋体"/>
        <w:sz w:val="24"/>
        <w:szCs w:val="24"/>
        <w:lang w:val="en-US"/>
      </w:rPr>
    </w:lvl>
    <w:lvl w:ilvl="1" w:tentative="0">
      <w:start w:val="1"/>
      <w:numFmt w:val="chineseCountingThousand"/>
      <w:lvlText w:val="（%2）"/>
      <w:lvlJc w:val="left"/>
      <w:pPr>
        <w:ind w:left="992" w:hanging="567"/>
      </w:pPr>
      <w:rPr>
        <w:rFonts w:hint="eastAsia" w:ascii="宋体" w:hAnsi="宋体" w:eastAsia="宋体"/>
        <w:b/>
        <w:color w:val="auto"/>
        <w:sz w:val="24"/>
        <w:szCs w:val="24"/>
      </w:rPr>
    </w:lvl>
    <w:lvl w:ilvl="2" w:tentative="0">
      <w:start w:val="1"/>
      <w:numFmt w:val="decimal"/>
      <w:lvlText w:val="%3．"/>
      <w:lvlJc w:val="left"/>
      <w:pPr>
        <w:tabs>
          <w:tab w:val="left" w:pos="840"/>
        </w:tabs>
        <w:ind w:left="840" w:hanging="420"/>
      </w:pPr>
      <w:rPr>
        <w:rFonts w:hint="default"/>
        <w:sz w:val="24"/>
        <w:szCs w:val="24"/>
        <w:lang w:val="en-US"/>
      </w:rPr>
    </w:lvl>
    <w:lvl w:ilvl="3" w:tentative="0">
      <w:start w:val="1"/>
      <w:numFmt w:val="decimal"/>
      <w:lvlText w:val="(%4)"/>
      <w:lvlJc w:val="left"/>
      <w:pPr>
        <w:ind w:left="1984" w:hanging="708"/>
      </w:pPr>
      <w:rPr>
        <w:rFonts w:hint="eastAsia" w:ascii="宋体" w:hAnsi="宋体" w:eastAsia="宋体"/>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2">
    <w:nsid w:val="348645F4"/>
    <w:multiLevelType w:val="multilevel"/>
    <w:tmpl w:val="348645F4"/>
    <w:lvl w:ilvl="0" w:tentative="0">
      <w:start w:val="1"/>
      <w:numFmt w:val="decimal"/>
      <w:lvlText w:val="%1."/>
      <w:lvlJc w:val="left"/>
      <w:pPr>
        <w:tabs>
          <w:tab w:val="left" w:pos="840"/>
        </w:tabs>
        <w:ind w:left="840" w:hanging="420"/>
      </w:pPr>
      <w:rPr>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6AF2735"/>
    <w:multiLevelType w:val="multilevel"/>
    <w:tmpl w:val="36AF2735"/>
    <w:lvl w:ilvl="0" w:tentative="0">
      <w:start w:val="1"/>
      <w:numFmt w:val="decimal"/>
      <w:lvlText w:val="%1．"/>
      <w:lvlJc w:val="left"/>
      <w:pPr>
        <w:tabs>
          <w:tab w:val="left" w:pos="1496"/>
        </w:tabs>
        <w:ind w:left="1496" w:hanging="930"/>
      </w:pPr>
      <w:rPr>
        <w:rFonts w:hint="default"/>
      </w:rPr>
    </w:lvl>
    <w:lvl w:ilvl="1" w:tentative="0">
      <w:start w:val="1"/>
      <w:numFmt w:val="lowerLetter"/>
      <w:lvlText w:val="%2)"/>
      <w:lvlJc w:val="left"/>
      <w:pPr>
        <w:tabs>
          <w:tab w:val="left" w:pos="1406"/>
        </w:tabs>
        <w:ind w:left="1406" w:hanging="420"/>
      </w:pPr>
    </w:lvl>
    <w:lvl w:ilvl="2" w:tentative="0">
      <w:start w:val="1"/>
      <w:numFmt w:val="lowerRoman"/>
      <w:lvlText w:val="%3."/>
      <w:lvlJc w:val="right"/>
      <w:pPr>
        <w:tabs>
          <w:tab w:val="left" w:pos="1826"/>
        </w:tabs>
        <w:ind w:left="1826" w:hanging="420"/>
      </w:pPr>
    </w:lvl>
    <w:lvl w:ilvl="3" w:tentative="0">
      <w:start w:val="1"/>
      <w:numFmt w:val="decimal"/>
      <w:lvlText w:val="%4."/>
      <w:lvlJc w:val="left"/>
      <w:pPr>
        <w:tabs>
          <w:tab w:val="left" w:pos="2246"/>
        </w:tabs>
        <w:ind w:left="2246" w:hanging="420"/>
      </w:pPr>
    </w:lvl>
    <w:lvl w:ilvl="4" w:tentative="0">
      <w:start w:val="1"/>
      <w:numFmt w:val="lowerLetter"/>
      <w:lvlText w:val="%5)"/>
      <w:lvlJc w:val="left"/>
      <w:pPr>
        <w:tabs>
          <w:tab w:val="left" w:pos="2666"/>
        </w:tabs>
        <w:ind w:left="2666" w:hanging="420"/>
      </w:pPr>
    </w:lvl>
    <w:lvl w:ilvl="5" w:tentative="0">
      <w:start w:val="1"/>
      <w:numFmt w:val="lowerRoman"/>
      <w:lvlText w:val="%6."/>
      <w:lvlJc w:val="right"/>
      <w:pPr>
        <w:tabs>
          <w:tab w:val="left" w:pos="3086"/>
        </w:tabs>
        <w:ind w:left="3086" w:hanging="420"/>
      </w:pPr>
    </w:lvl>
    <w:lvl w:ilvl="6" w:tentative="0">
      <w:start w:val="1"/>
      <w:numFmt w:val="decimal"/>
      <w:lvlText w:val="%7."/>
      <w:lvlJc w:val="left"/>
      <w:pPr>
        <w:tabs>
          <w:tab w:val="left" w:pos="3506"/>
        </w:tabs>
        <w:ind w:left="3506" w:hanging="420"/>
      </w:pPr>
    </w:lvl>
    <w:lvl w:ilvl="7" w:tentative="0">
      <w:start w:val="1"/>
      <w:numFmt w:val="lowerLetter"/>
      <w:lvlText w:val="%8)"/>
      <w:lvlJc w:val="left"/>
      <w:pPr>
        <w:tabs>
          <w:tab w:val="left" w:pos="3926"/>
        </w:tabs>
        <w:ind w:left="3926" w:hanging="420"/>
      </w:pPr>
    </w:lvl>
    <w:lvl w:ilvl="8" w:tentative="0">
      <w:start w:val="1"/>
      <w:numFmt w:val="lowerRoman"/>
      <w:lvlText w:val="%9."/>
      <w:lvlJc w:val="right"/>
      <w:pPr>
        <w:tabs>
          <w:tab w:val="left" w:pos="4346"/>
        </w:tabs>
        <w:ind w:left="4346" w:hanging="420"/>
      </w:pPr>
    </w:lvl>
  </w:abstractNum>
  <w:abstractNum w:abstractNumId="14">
    <w:nsid w:val="4C230CE6"/>
    <w:multiLevelType w:val="multilevel"/>
    <w:tmpl w:val="4C230CE6"/>
    <w:lvl w:ilvl="0" w:tentative="0">
      <w:start w:val="1"/>
      <w:numFmt w:val="chineseCountingThousand"/>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color w:val="auto"/>
        <w:sz w:val="24"/>
        <w:szCs w:val="24"/>
      </w:rPr>
    </w:lvl>
    <w:lvl w:ilvl="2" w:tentative="0">
      <w:start w:val="1"/>
      <w:numFmt w:val="decimal"/>
      <w:lvlText w:val="%3."/>
      <w:lvlJc w:val="left"/>
      <w:pPr>
        <w:ind w:left="2269" w:hanging="567"/>
      </w:pPr>
      <w:rPr>
        <w:rFonts w:hint="eastAsia"/>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5">
    <w:nsid w:val="51706E86"/>
    <w:multiLevelType w:val="multilevel"/>
    <w:tmpl w:val="51706E86"/>
    <w:lvl w:ilvl="0" w:tentative="0">
      <w:start w:val="1"/>
      <w:numFmt w:val="chineseCountingThousand"/>
      <w:lvlText w:val="%1、"/>
      <w:lvlJc w:val="left"/>
      <w:pPr>
        <w:ind w:left="425" w:hanging="425"/>
      </w:pPr>
      <w:rPr>
        <w:rFonts w:hint="eastAsia"/>
        <w:sz w:val="24"/>
        <w:szCs w:val="24"/>
        <w:lang w:val="en-US"/>
      </w:rPr>
    </w:lvl>
    <w:lvl w:ilvl="1" w:tentative="0">
      <w:start w:val="1"/>
      <w:numFmt w:val="chineseCountingThousand"/>
      <w:lvlText w:val="（%2）"/>
      <w:lvlJc w:val="left"/>
      <w:pPr>
        <w:ind w:left="992" w:hanging="567"/>
      </w:pPr>
      <w:rPr>
        <w:rFonts w:hint="eastAsia" w:ascii="仿宋_GB2312" w:eastAsia="仿宋_GB2312"/>
        <w:sz w:val="24"/>
        <w:szCs w:val="24"/>
      </w:rPr>
    </w:lvl>
    <w:lvl w:ilvl="2" w:tentative="0">
      <w:start w:val="1"/>
      <w:numFmt w:val="decimal"/>
      <w:lvlText w:val="%3."/>
      <w:lvlJc w:val="left"/>
      <w:pPr>
        <w:ind w:left="1418" w:hanging="567"/>
      </w:pPr>
      <w:rPr>
        <w:rFonts w:hint="eastAsia" w:ascii="仿宋_GB2312" w:eastAsia="仿宋_GB2312"/>
        <w:color w:val="auto"/>
        <w:sz w:val="24"/>
        <w:szCs w:val="24"/>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6">
    <w:nsid w:val="524152D3"/>
    <w:multiLevelType w:val="multilevel"/>
    <w:tmpl w:val="524152D3"/>
    <w:lvl w:ilvl="0" w:tentative="0">
      <w:start w:val="1"/>
      <w:numFmt w:val="japaneseCounting"/>
      <w:lvlText w:val="%1、"/>
      <w:lvlJc w:val="left"/>
      <w:pPr>
        <w:tabs>
          <w:tab w:val="left" w:pos="1565"/>
        </w:tabs>
        <w:ind w:left="1565" w:hanging="85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541FA97C"/>
    <w:multiLevelType w:val="singleLevel"/>
    <w:tmpl w:val="541FA97C"/>
    <w:lvl w:ilvl="0" w:tentative="0">
      <w:start w:val="1"/>
      <w:numFmt w:val="decimal"/>
      <w:suff w:val="nothing"/>
      <w:lvlText w:val="%1．"/>
      <w:lvlJc w:val="left"/>
      <w:pPr>
        <w:ind w:left="0" w:firstLine="400"/>
      </w:pPr>
      <w:rPr>
        <w:rFonts w:hint="default"/>
      </w:rPr>
    </w:lvl>
  </w:abstractNum>
  <w:abstractNum w:abstractNumId="18">
    <w:nsid w:val="54CA1067"/>
    <w:multiLevelType w:val="multilevel"/>
    <w:tmpl w:val="54CA1067"/>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56216BF3"/>
    <w:multiLevelType w:val="multilevel"/>
    <w:tmpl w:val="56216BF3"/>
    <w:lvl w:ilvl="0" w:tentative="0">
      <w:start w:val="2"/>
      <w:numFmt w:val="decimal"/>
      <w:lvlText w:val="%1."/>
      <w:lvlJc w:val="left"/>
      <w:pPr>
        <w:tabs>
          <w:tab w:val="left" w:pos="840"/>
        </w:tabs>
        <w:ind w:left="840" w:hanging="420"/>
      </w:pPr>
      <w:rPr>
        <w:rFonts w:hint="eastAsia"/>
        <w:color w:val="auto"/>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0">
    <w:nsid w:val="5FE05B64"/>
    <w:multiLevelType w:val="singleLevel"/>
    <w:tmpl w:val="5FE05B64"/>
    <w:lvl w:ilvl="0" w:tentative="0">
      <w:start w:val="1"/>
      <w:numFmt w:val="decimal"/>
      <w:suff w:val="space"/>
      <w:lvlText w:val="%1."/>
      <w:lvlJc w:val="left"/>
    </w:lvl>
  </w:abstractNum>
  <w:abstractNum w:abstractNumId="21">
    <w:nsid w:val="6E6F60E4"/>
    <w:multiLevelType w:val="multilevel"/>
    <w:tmpl w:val="6E6F60E4"/>
    <w:lvl w:ilvl="0" w:tentative="0">
      <w:start w:val="1"/>
      <w:numFmt w:val="chineseCountingThousand"/>
      <w:lvlText w:val="%1、"/>
      <w:lvlJc w:val="left"/>
      <w:pPr>
        <w:ind w:left="425" w:hanging="425"/>
      </w:pPr>
      <w:rPr>
        <w:rFonts w:hint="eastAsia"/>
        <w:sz w:val="24"/>
        <w:szCs w:val="24"/>
      </w:rPr>
    </w:lvl>
    <w:lvl w:ilvl="1" w:tentative="0">
      <w:start w:val="1"/>
      <w:numFmt w:val="chineseCountingThousand"/>
      <w:lvlText w:val="（%2）"/>
      <w:lvlJc w:val="left"/>
      <w:pPr>
        <w:ind w:left="1701" w:hanging="567"/>
      </w:pPr>
      <w:rPr>
        <w:rFonts w:hint="eastAsia" w:ascii="宋体" w:hAnsi="宋体" w:eastAsia="宋体"/>
        <w:sz w:val="24"/>
        <w:szCs w:val="24"/>
      </w:rPr>
    </w:lvl>
    <w:lvl w:ilvl="2" w:tentative="0">
      <w:start w:val="1"/>
      <w:numFmt w:val="decimal"/>
      <w:lvlText w:val="%3."/>
      <w:lvlJc w:val="left"/>
      <w:pPr>
        <w:ind w:left="1418" w:hanging="567"/>
      </w:pPr>
      <w:rPr>
        <w:rFonts w:hint="eastAsia"/>
      </w:rPr>
    </w:lvl>
    <w:lvl w:ilvl="3" w:tentative="0">
      <w:start w:val="1"/>
      <w:numFmt w:val="decimal"/>
      <w:lvlText w:val="(%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6E6F60E6"/>
    <w:multiLevelType w:val="multilevel"/>
    <w:tmpl w:val="6E6F60E6"/>
    <w:lvl w:ilvl="0" w:tentative="0">
      <w:start w:val="1"/>
      <w:numFmt w:val="japaneseCounting"/>
      <w:lvlText w:val="（%1）"/>
      <w:lvlJc w:val="left"/>
      <w:pPr>
        <w:tabs>
          <w:tab w:val="left" w:pos="720"/>
        </w:tabs>
        <w:ind w:left="720" w:hanging="720"/>
      </w:pPr>
      <w:rPr>
        <w:rFonts w:hint="default"/>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6"/>
  </w:num>
  <w:num w:numId="2">
    <w:abstractNumId w:val="1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4"/>
  </w:num>
  <w:num w:numId="7">
    <w:abstractNumId w:val="14"/>
  </w:num>
  <w:num w:numId="8">
    <w:abstractNumId w:val="21"/>
  </w:num>
  <w:num w:numId="9">
    <w:abstractNumId w:val="13"/>
  </w:num>
  <w:num w:numId="10">
    <w:abstractNumId w:val="5"/>
  </w:num>
  <w:num w:numId="11">
    <w:abstractNumId w:val="17"/>
  </w:num>
  <w:num w:numId="12">
    <w:abstractNumId w:val="2"/>
  </w:num>
  <w:num w:numId="13">
    <w:abstractNumId w:val="1"/>
  </w:num>
  <w:num w:numId="14">
    <w:abstractNumId w:val="19"/>
  </w:num>
  <w:num w:numId="15">
    <w:abstractNumId w:val="7"/>
  </w:num>
  <w:num w:numId="16">
    <w:abstractNumId w:val="18"/>
  </w:num>
  <w:num w:numId="17">
    <w:abstractNumId w:val="12"/>
  </w:num>
  <w:num w:numId="18">
    <w:abstractNumId w:val="8"/>
  </w:num>
  <w:num w:numId="19">
    <w:abstractNumId w:val="15"/>
  </w:num>
  <w:num w:numId="20">
    <w:abstractNumId w:val="20"/>
  </w:num>
  <w:num w:numId="21">
    <w:abstractNumId w:val="3"/>
  </w:num>
  <w:num w:numId="22">
    <w:abstractNumId w:val="9"/>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4424EA"/>
    <w:rsid w:val="034424EA"/>
    <w:rsid w:val="0C842065"/>
    <w:rsid w:val="0EAF7BEC"/>
    <w:rsid w:val="0F181DC0"/>
    <w:rsid w:val="1D3A3083"/>
    <w:rsid w:val="1E2B3E16"/>
    <w:rsid w:val="290B27A6"/>
    <w:rsid w:val="2DA01775"/>
    <w:rsid w:val="381A7FD1"/>
    <w:rsid w:val="39E4582E"/>
    <w:rsid w:val="405F4A0E"/>
    <w:rsid w:val="45D1545B"/>
    <w:rsid w:val="5538344B"/>
    <w:rsid w:val="57944C76"/>
    <w:rsid w:val="5A8771DA"/>
    <w:rsid w:val="60BC4A72"/>
    <w:rsid w:val="665502C6"/>
    <w:rsid w:val="69344BA9"/>
    <w:rsid w:val="72632DDE"/>
    <w:rsid w:val="740A2790"/>
    <w:rsid w:val="76B02816"/>
    <w:rsid w:val="7AD52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4">
    <w:name w:val="heading 2"/>
    <w:basedOn w:val="1"/>
    <w:next w:val="5"/>
    <w:qFormat/>
    <w:uiPriority w:val="0"/>
    <w:pPr>
      <w:keepNext/>
      <w:keepLines/>
      <w:adjustRightInd w:val="0"/>
      <w:snapToGrid w:val="0"/>
      <w:spacing w:line="360" w:lineRule="auto"/>
      <w:jc w:val="center"/>
      <w:outlineLvl w:val="1"/>
    </w:pPr>
    <w:rPr>
      <w:rFonts w:ascii="宋体" w:hAnsi="Arial" w:cs="宋体"/>
      <w:sz w:val="32"/>
    </w:rPr>
  </w:style>
  <w:style w:type="paragraph" w:styleId="6">
    <w:name w:val="heading 3"/>
    <w:basedOn w:val="1"/>
    <w:next w:val="5"/>
    <w:qFormat/>
    <w:uiPriority w:val="0"/>
    <w:pPr>
      <w:widowControl w:val="0"/>
      <w:tabs>
        <w:tab w:val="left" w:pos="851"/>
      </w:tabs>
      <w:autoSpaceDE w:val="0"/>
      <w:autoSpaceDN w:val="0"/>
      <w:adjustRightInd w:val="0"/>
      <w:snapToGrid w:val="0"/>
      <w:spacing w:line="360" w:lineRule="auto"/>
      <w:jc w:val="both"/>
      <w:outlineLvl w:val="2"/>
    </w:pPr>
    <w:rPr>
      <w:rFonts w:ascii="宋体" w:cs="宋体"/>
    </w:rPr>
  </w:style>
  <w:style w:type="paragraph" w:styleId="7">
    <w:name w:val="heading 4"/>
    <w:basedOn w:val="1"/>
    <w:next w:val="5"/>
    <w:qFormat/>
    <w:uiPriority w:val="0"/>
    <w:pPr>
      <w:widowControl w:val="0"/>
      <w:autoSpaceDE w:val="0"/>
      <w:autoSpaceDN w:val="0"/>
      <w:adjustRightInd w:val="0"/>
      <w:snapToGrid w:val="0"/>
      <w:spacing w:line="360" w:lineRule="auto"/>
      <w:jc w:val="both"/>
      <w:outlineLvl w:val="3"/>
    </w:pPr>
    <w:rPr>
      <w:rFonts w:ascii="宋体" w:hAnsi="Arial" w:cs="宋体"/>
      <w:color w:val="000000"/>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pPr>
    <w:rPr>
      <w:rFonts w:ascii="Tahoma" w:hAnsi="Tahoma"/>
      <w:kern w:val="2"/>
    </w:rPr>
  </w:style>
  <w:style w:type="paragraph" w:styleId="5">
    <w:name w:val="Normal Indent"/>
    <w:basedOn w:val="1"/>
    <w:qFormat/>
    <w:uiPriority w:val="0"/>
    <w:pPr>
      <w:ind w:firstLine="420"/>
    </w:pPr>
  </w:style>
  <w:style w:type="paragraph" w:styleId="8">
    <w:name w:val="Body Text 3"/>
    <w:basedOn w:val="1"/>
    <w:qFormat/>
    <w:uiPriority w:val="0"/>
    <w:pPr>
      <w:spacing w:after="120" w:afterLines="0"/>
    </w:pPr>
    <w:rPr>
      <w:sz w:val="16"/>
      <w:szCs w:val="16"/>
    </w:rPr>
  </w:style>
  <w:style w:type="paragraph" w:styleId="9">
    <w:name w:val="Plain Text"/>
    <w:basedOn w:val="1"/>
    <w:qFormat/>
    <w:uiPriority w:val="0"/>
    <w:rPr>
      <w:rFonts w:ascii="宋体" w:hAnsi="Courier New"/>
      <w:szCs w:val="21"/>
    </w:rPr>
  </w:style>
  <w:style w:type="paragraph" w:styleId="10">
    <w:name w:val="footer"/>
    <w:basedOn w:val="1"/>
    <w:qFormat/>
    <w:uiPriority w:val="0"/>
    <w:pPr>
      <w:tabs>
        <w:tab w:val="center" w:pos="4153"/>
        <w:tab w:val="right" w:pos="8306"/>
      </w:tabs>
      <w:snapToGrid w:val="0"/>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rPr>
  </w:style>
  <w:style w:type="character" w:styleId="13">
    <w:name w:val="page number"/>
    <w:basedOn w:val="12"/>
    <w:qFormat/>
    <w:uiPriority w:val="0"/>
  </w:style>
  <w:style w:type="character" w:customStyle="1" w:styleId="15">
    <w:name w:val="p141"/>
    <w:qFormat/>
    <w:uiPriority w:val="0"/>
    <w:rPr>
      <w:sz w:val="21"/>
      <w:szCs w:val="21"/>
    </w:rPr>
  </w:style>
  <w:style w:type="paragraph" w:customStyle="1" w:styleId="16">
    <w:name w:val="正文_0"/>
    <w:qFormat/>
    <w:uiPriority w:val="0"/>
    <w:rPr>
      <w:rFonts w:ascii="Calibri" w:hAnsi="Calibri" w:eastAsia="宋体" w:cs="Times New Roman"/>
      <w:sz w:val="21"/>
      <w:szCs w:val="22"/>
      <w:lang w:val="en-US" w:eastAsia="zh-CN" w:bidi="ar-SA"/>
    </w:rPr>
  </w:style>
  <w:style w:type="paragraph" w:customStyle="1" w:styleId="17">
    <w:name w:val="1"/>
    <w:basedOn w:val="1"/>
    <w:next w:val="9"/>
    <w:qFormat/>
    <w:uiPriority w:val="0"/>
    <w:pPr>
      <w:widowControl w:val="0"/>
      <w:jc w:val="both"/>
    </w:pPr>
    <w:rPr>
      <w:rFonts w:ascii="宋体" w:hAnsi="Courier New"/>
      <w:kern w:val="2"/>
    </w:rPr>
  </w:style>
  <w:style w:type="paragraph" w:customStyle="1" w:styleId="18">
    <w:name w:val="纯文本_0"/>
    <w:basedOn w:val="19"/>
    <w:unhideWhenUsed/>
    <w:qFormat/>
    <w:uiPriority w:val="0"/>
    <w:pPr>
      <w:widowControl/>
      <w:jc w:val="left"/>
    </w:pPr>
    <w:rPr>
      <w:rFonts w:ascii="宋体" w:hAnsi="Courier New" w:eastAsia="宋体"/>
      <w:kern w:val="0"/>
      <w:sz w:val="20"/>
      <w:szCs w:val="21"/>
    </w:rPr>
  </w:style>
  <w:style w:type="paragraph" w:customStyle="1" w:styleId="19">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标题 3_0"/>
    <w:basedOn w:val="21"/>
    <w:next w:val="19"/>
    <w:qFormat/>
    <w:uiPriority w:val="0"/>
    <w:pPr>
      <w:keepNext/>
      <w:keepLines/>
      <w:widowControl/>
      <w:spacing w:before="260" w:after="260" w:line="416" w:lineRule="auto"/>
      <w:jc w:val="left"/>
      <w:outlineLvl w:val="2"/>
    </w:pPr>
    <w:rPr>
      <w:rFonts w:ascii="Calibri" w:hAnsi="Calibri"/>
      <w:b/>
      <w:bCs/>
      <w:kern w:val="0"/>
      <w:sz w:val="32"/>
      <w:szCs w:val="32"/>
    </w:rPr>
  </w:style>
  <w:style w:type="paragraph" w:customStyle="1" w:styleId="21">
    <w:name w:val="正文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
    <w:name w:val="纯文本_0_0"/>
    <w:basedOn w:val="21"/>
    <w:unhideWhenUsed/>
    <w:qFormat/>
    <w:uiPriority w:val="0"/>
    <w:pPr>
      <w:widowControl/>
      <w:jc w:val="left"/>
    </w:pPr>
    <w:rPr>
      <w:rFonts w:ascii="宋体" w:hAnsi="Courier New" w:eastAsia="宋体"/>
      <w:kern w:val="0"/>
      <w:sz w:val="20"/>
      <w:szCs w:val="21"/>
    </w:rPr>
  </w:style>
  <w:style w:type="paragraph" w:customStyle="1" w:styleId="23">
    <w:name w:val="Plain Text"/>
    <w:basedOn w:val="24"/>
    <w:qFormat/>
    <w:uiPriority w:val="0"/>
    <w:rPr>
      <w:rFonts w:ascii="宋体" w:hAnsi="Courier New" w:eastAsia="宋体" w:cs="Courier New"/>
      <w:kern w:val="2"/>
      <w:szCs w:val="21"/>
    </w:rPr>
  </w:style>
  <w:style w:type="paragraph" w:customStyle="1" w:styleId="24">
    <w:name w:val="Normal_5"/>
    <w:qFormat/>
    <w:uiPriority w:val="0"/>
    <w:rPr>
      <w:rFonts w:ascii="Times New Roman" w:hAnsi="Times New Roman" w:eastAsia="宋体" w:cs="Times New Roman"/>
      <w:sz w:val="21"/>
      <w:lang w:val="en-US" w:eastAsia="zh-CN" w:bidi="ar-SA"/>
    </w:rPr>
  </w:style>
  <w:style w:type="paragraph" w:customStyle="1" w:styleId="25">
    <w:name w:val="1_0"/>
    <w:basedOn w:val="26"/>
    <w:next w:val="23"/>
    <w:qFormat/>
    <w:uiPriority w:val="0"/>
    <w:pPr>
      <w:widowControl w:val="0"/>
      <w:jc w:val="both"/>
    </w:pPr>
    <w:rPr>
      <w:rFonts w:ascii="宋体" w:hAnsi="Courier New" w:eastAsia="宋体"/>
      <w:kern w:val="2"/>
    </w:rPr>
  </w:style>
  <w:style w:type="paragraph" w:customStyle="1" w:styleId="26">
    <w:name w:val="Normal_7"/>
    <w:qFormat/>
    <w:uiPriority w:val="0"/>
    <w:rPr>
      <w:rFonts w:ascii="Times New Roman" w:hAnsi="Times New Roman" w:eastAsia="宋体" w:cs="Times New Roman"/>
      <w:sz w:val="21"/>
      <w:lang w:val="en-US" w:eastAsia="zh-CN" w:bidi="ar-SA"/>
    </w:rPr>
  </w:style>
  <w:style w:type="paragraph" w:customStyle="1" w:styleId="27">
    <w:name w:val="Normal_9"/>
    <w:qFormat/>
    <w:uiPriority w:val="0"/>
    <w:rPr>
      <w:rFonts w:ascii="Times New Roman" w:hAnsi="Times New Roman" w:eastAsia="Times New Roman" w:cs="Times New Roman"/>
      <w:sz w:val="24"/>
      <w:szCs w:val="24"/>
      <w:lang w:bidi="ar-SA"/>
    </w:rPr>
  </w:style>
  <w:style w:type="paragraph" w:customStyle="1" w:styleId="28">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
    <w:name w:val="样式1_0"/>
    <w:basedOn w:val="30"/>
    <w:qFormat/>
    <w:uiPriority w:val="0"/>
    <w:pPr>
      <w:widowControl/>
      <w:tabs>
        <w:tab w:val="left" w:pos="420"/>
      </w:tabs>
      <w:adjustRightInd w:val="0"/>
      <w:snapToGrid w:val="0"/>
      <w:spacing w:before="0" w:after="0" w:line="360" w:lineRule="auto"/>
      <w:ind w:left="420" w:hanging="420"/>
      <w:jc w:val="center"/>
    </w:pPr>
    <w:rPr>
      <w:rFonts w:ascii="宋体" w:hAnsi="Arial" w:eastAsia="宋体"/>
      <w:bCs w:val="0"/>
      <w:szCs w:val="20"/>
    </w:rPr>
  </w:style>
  <w:style w:type="paragraph" w:customStyle="1" w:styleId="30">
    <w:name w:val="标题 2_0_0"/>
    <w:basedOn w:val="31"/>
    <w:next w:val="31"/>
    <w:qFormat/>
    <w:uiPriority w:val="9"/>
    <w:pPr>
      <w:keepNext/>
      <w:keepLines/>
      <w:spacing w:before="260" w:after="260" w:line="416" w:lineRule="auto"/>
      <w:outlineLvl w:val="1"/>
    </w:pPr>
    <w:rPr>
      <w:rFonts w:ascii="Cambria" w:hAnsi="Cambria"/>
      <w:b/>
      <w:bCs/>
      <w:kern w:val="0"/>
      <w:sz w:val="32"/>
      <w:szCs w:val="32"/>
    </w:rPr>
  </w:style>
  <w:style w:type="paragraph" w:customStyle="1" w:styleId="31">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Normal_13"/>
    <w:qFormat/>
    <w:uiPriority w:val="0"/>
    <w:rPr>
      <w:rFonts w:ascii="Times New Roman" w:hAnsi="Times New Roman" w:eastAsia="宋体" w:cs="Times New Roman"/>
      <w:sz w:val="21"/>
      <w:lang w:val="en-US" w:eastAsia="zh-CN" w:bidi="ar-SA"/>
    </w:rPr>
  </w:style>
  <w:style w:type="paragraph" w:customStyle="1" w:styleId="34">
    <w:name w:val="正文_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正文_5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Normal_18"/>
    <w:qFormat/>
    <w:uiPriority w:val="0"/>
    <w:rPr>
      <w:rFonts w:ascii="Times New Roman" w:hAnsi="Times New Roman" w:eastAsia="宋体" w:cs="Times New Roman"/>
      <w:sz w:val="21"/>
      <w:lang w:val="en-US" w:eastAsia="zh-CN" w:bidi="ar-SA"/>
    </w:rPr>
  </w:style>
  <w:style w:type="paragraph" w:customStyle="1" w:styleId="37">
    <w:name w:val="Normal_2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Normal_23"/>
    <w:qFormat/>
    <w:uiPriority w:val="0"/>
    <w:pPr>
      <w:widowControl w:val="0"/>
      <w:jc w:val="both"/>
    </w:pPr>
    <w:rPr>
      <w:rFonts w:ascii="Calibri" w:hAnsi="Calibri" w:eastAsia="宋体" w:cs="Times New Roman"/>
      <w:kern w:val="2"/>
      <w:sz w:val="21"/>
      <w:szCs w:val="22"/>
      <w:lang w:bidi="ar-SA"/>
    </w:rPr>
  </w:style>
  <w:style w:type="paragraph" w:customStyle="1" w:styleId="39">
    <w:name w:val="正文_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
    <w:name w:val="正文_11"/>
    <w:qFormat/>
    <w:uiPriority w:val="0"/>
    <w:pPr>
      <w:widowControl w:val="0"/>
      <w:jc w:val="both"/>
    </w:pPr>
    <w:rPr>
      <w:rFonts w:ascii="Calibri" w:hAnsi="Calibri" w:eastAsia="宋体" w:cs="Times New Roman"/>
      <w:kern w:val="2"/>
      <w:sz w:val="21"/>
      <w:szCs w:val="22"/>
      <w:lang w:val="en-US" w:eastAsia="zh-CN" w:bidi="ar-SA"/>
    </w:rPr>
  </w:style>
  <w:style w:type="character" w:customStyle="1" w:styleId="41">
    <w:name w:val="font11"/>
    <w:basedOn w:val="12"/>
    <w:qFormat/>
    <w:uiPriority w:val="0"/>
    <w:rPr>
      <w:rFonts w:hint="eastAsia" w:ascii="宋体" w:hAnsi="宋体" w:eastAsia="宋体" w:cs="宋体"/>
      <w:color w:val="000000"/>
      <w:sz w:val="24"/>
      <w:szCs w:val="24"/>
      <w:u w:val="none"/>
    </w:rPr>
  </w:style>
  <w:style w:type="character" w:customStyle="1" w:styleId="42">
    <w:name w:val="font01"/>
    <w:basedOn w:val="12"/>
    <w:qFormat/>
    <w:uiPriority w:val="0"/>
    <w:rPr>
      <w:rFonts w:hint="eastAsia" w:ascii="宋体" w:hAnsi="宋体" w:eastAsia="宋体" w:cs="宋体"/>
      <w:color w:val="000000"/>
      <w:sz w:val="22"/>
      <w:szCs w:val="22"/>
      <w:u w:val="none"/>
    </w:rPr>
  </w:style>
  <w:style w:type="character" w:customStyle="1" w:styleId="43">
    <w:name w:val="font21"/>
    <w:basedOn w:val="12"/>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2021-08-19T07:40:00Z</dcterms:created>
  <dc:creator>曦-望在明天</dc:creator>
  <cp:lastModifiedBy>凌瑞胜</cp:lastModifiedBy>
  <dcterms:modified xsi:type="dcterms:W3CDTF">2021-10-18T07:56:49Z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01229E9E40F94616B256F59098EAC0B0</vt:lpwstr>
  </property>
</Properties>
</file>